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0B6D7" w14:textId="77777777" w:rsidR="000F3003" w:rsidRPr="006C6882" w:rsidRDefault="000F3003" w:rsidP="00C75559">
      <w:pPr>
        <w:autoSpaceDE w:val="0"/>
        <w:autoSpaceDN w:val="0"/>
        <w:adjustRightInd w:val="0"/>
        <w:jc w:val="center"/>
        <w:rPr>
          <w:rFonts w:ascii="Arial" w:hAnsi="Arial" w:cs="Arial"/>
          <w:b/>
          <w:bCs/>
        </w:rPr>
      </w:pPr>
      <w:r w:rsidRPr="006C6882">
        <w:rPr>
          <w:rFonts w:ascii="Arial" w:hAnsi="Arial" w:cs="Arial"/>
          <w:b/>
          <w:bCs/>
        </w:rPr>
        <w:t xml:space="preserve">ANEXO </w:t>
      </w:r>
      <w:r w:rsidR="00BF6A07" w:rsidRPr="006C6882">
        <w:rPr>
          <w:rFonts w:ascii="Arial" w:hAnsi="Arial" w:cs="Arial"/>
          <w:b/>
          <w:bCs/>
        </w:rPr>
        <w:t>7</w:t>
      </w:r>
    </w:p>
    <w:p w14:paraId="54A34BAB" w14:textId="77777777" w:rsidR="004B78DF" w:rsidRPr="006C6882" w:rsidRDefault="004B78DF" w:rsidP="00C75559">
      <w:pPr>
        <w:autoSpaceDE w:val="0"/>
        <w:autoSpaceDN w:val="0"/>
        <w:adjustRightInd w:val="0"/>
        <w:jc w:val="center"/>
        <w:rPr>
          <w:rFonts w:ascii="Arial" w:hAnsi="Arial" w:cs="Arial"/>
          <w:b/>
          <w:bCs/>
        </w:rPr>
      </w:pPr>
      <w:r w:rsidRPr="006C6882">
        <w:rPr>
          <w:rFonts w:ascii="Arial" w:hAnsi="Arial" w:cs="Arial"/>
          <w:b/>
          <w:bCs/>
        </w:rPr>
        <w:t xml:space="preserve">PROCESO DE CONTRATACION DE SEGUROS </w:t>
      </w:r>
      <w:r w:rsidRPr="006C6882">
        <w:rPr>
          <w:rFonts w:ascii="Arial" w:hAnsi="Arial" w:cs="Arial"/>
          <w:b/>
          <w:bCs/>
          <w:lang w:val="es-MX"/>
        </w:rPr>
        <w:t xml:space="preserve">POLIZAS DE VIDA GRUPO </w:t>
      </w:r>
      <w:r w:rsidRPr="006C6882">
        <w:rPr>
          <w:rFonts w:ascii="Arial" w:hAnsi="Arial" w:cs="Arial"/>
          <w:b/>
          <w:bCs/>
        </w:rPr>
        <w:t>ASOCIADOS A CREDITOS GARANTIZADOS CON HIPOTECA O A CONTRATOS DE LEASING HABITACIONAL</w:t>
      </w:r>
    </w:p>
    <w:p w14:paraId="179AB8BD" w14:textId="77777777" w:rsidR="00C75559" w:rsidRPr="006C6882" w:rsidRDefault="00C75559" w:rsidP="00C75559">
      <w:pPr>
        <w:autoSpaceDE w:val="0"/>
        <w:autoSpaceDN w:val="0"/>
        <w:adjustRightInd w:val="0"/>
        <w:spacing w:after="0" w:line="240" w:lineRule="auto"/>
        <w:jc w:val="both"/>
        <w:rPr>
          <w:rFonts w:ascii="Arial" w:hAnsi="Arial" w:cs="Arial"/>
          <w:color w:val="000000"/>
        </w:rPr>
      </w:pPr>
      <w:r w:rsidRPr="006C6882">
        <w:rPr>
          <w:rFonts w:ascii="Arial" w:hAnsi="Arial" w:cs="Arial"/>
          <w:color w:val="000000"/>
        </w:rPr>
        <w:t xml:space="preserve">A continuación, se citan las razones por la cuales el Banco Popular ha establecido requisitos de admisibilidad adicionales, que deben cumplir estrictamente las aseguradoras interesadas en el presente proceso licitatorio. </w:t>
      </w:r>
    </w:p>
    <w:p w14:paraId="25ADE76E" w14:textId="77777777" w:rsidR="00C75559" w:rsidRPr="006C6882" w:rsidRDefault="00C75559" w:rsidP="00C75559">
      <w:pPr>
        <w:autoSpaceDE w:val="0"/>
        <w:autoSpaceDN w:val="0"/>
        <w:adjustRightInd w:val="0"/>
        <w:spacing w:after="0" w:line="240" w:lineRule="auto"/>
        <w:jc w:val="both"/>
        <w:rPr>
          <w:rFonts w:ascii="Arial" w:hAnsi="Arial" w:cs="Arial"/>
          <w:color w:val="000000"/>
        </w:rPr>
      </w:pPr>
    </w:p>
    <w:p w14:paraId="1B94265A" w14:textId="77777777" w:rsidR="00C75559" w:rsidRPr="006C6882" w:rsidRDefault="00C75559" w:rsidP="00D0434B">
      <w:pPr>
        <w:pStyle w:val="Prrafodelista"/>
        <w:numPr>
          <w:ilvl w:val="0"/>
          <w:numId w:val="14"/>
        </w:numPr>
        <w:autoSpaceDE w:val="0"/>
        <w:autoSpaceDN w:val="0"/>
        <w:adjustRightInd w:val="0"/>
        <w:rPr>
          <w:rFonts w:cs="Arial"/>
          <w:b/>
          <w:bCs/>
          <w:color w:val="000000"/>
          <w:sz w:val="22"/>
          <w:szCs w:val="22"/>
        </w:rPr>
      </w:pPr>
      <w:r w:rsidRPr="006C6882">
        <w:rPr>
          <w:rFonts w:cs="Arial"/>
          <w:b/>
          <w:bCs/>
          <w:color w:val="000000"/>
          <w:sz w:val="22"/>
          <w:szCs w:val="22"/>
        </w:rPr>
        <w:t xml:space="preserve">Capacidad Patrimonial y Financiera: </w:t>
      </w:r>
    </w:p>
    <w:p w14:paraId="6AB7B819" w14:textId="77777777" w:rsidR="00EC242C" w:rsidRPr="006C6882" w:rsidRDefault="00EC242C" w:rsidP="00EC242C">
      <w:pPr>
        <w:pStyle w:val="Prrafodelista"/>
        <w:autoSpaceDE w:val="0"/>
        <w:autoSpaceDN w:val="0"/>
        <w:adjustRightInd w:val="0"/>
        <w:ind w:left="720"/>
        <w:rPr>
          <w:rFonts w:cs="Arial"/>
          <w:b/>
          <w:bCs/>
          <w:color w:val="000000"/>
          <w:sz w:val="22"/>
          <w:szCs w:val="22"/>
        </w:rPr>
      </w:pPr>
    </w:p>
    <w:p w14:paraId="1436CD93" w14:textId="77777777" w:rsidR="00EC242C" w:rsidRPr="006C6882" w:rsidRDefault="00EC242C" w:rsidP="00EC242C">
      <w:pPr>
        <w:pStyle w:val="Prrafodelista"/>
        <w:numPr>
          <w:ilvl w:val="0"/>
          <w:numId w:val="15"/>
        </w:numPr>
        <w:autoSpaceDE w:val="0"/>
        <w:autoSpaceDN w:val="0"/>
        <w:adjustRightInd w:val="0"/>
        <w:ind w:left="1068"/>
        <w:rPr>
          <w:rFonts w:cs="Arial"/>
          <w:color w:val="000000"/>
          <w:sz w:val="22"/>
          <w:szCs w:val="22"/>
        </w:rPr>
      </w:pPr>
      <w:r w:rsidRPr="006C6882">
        <w:rPr>
          <w:rFonts w:cs="Arial"/>
          <w:b/>
          <w:bCs/>
          <w:color w:val="000000"/>
          <w:sz w:val="22"/>
          <w:szCs w:val="22"/>
        </w:rPr>
        <w:t xml:space="preserve">Relación de solvencia: </w:t>
      </w:r>
      <w:r w:rsidRPr="006C6882">
        <w:rPr>
          <w:rFonts w:cs="Arial"/>
          <w:color w:val="000000"/>
          <w:sz w:val="22"/>
          <w:szCs w:val="22"/>
        </w:rPr>
        <w:t>Es la relación entre el patrimonio técnico y el patrimonio adecuado. El indicador permite determinar la calidad de los activos de las Aseguradoras, para cubrir adecuadamente el pago de las obligaciones a su cargo.</w:t>
      </w:r>
    </w:p>
    <w:p w14:paraId="157944AA" w14:textId="77777777" w:rsidR="00EC242C" w:rsidRPr="006C6882" w:rsidRDefault="00EC242C" w:rsidP="00EC242C">
      <w:pPr>
        <w:pStyle w:val="Prrafodelista"/>
        <w:autoSpaceDE w:val="0"/>
        <w:autoSpaceDN w:val="0"/>
        <w:adjustRightInd w:val="0"/>
        <w:ind w:left="1068"/>
        <w:rPr>
          <w:rFonts w:cs="Arial"/>
          <w:color w:val="000000"/>
          <w:sz w:val="22"/>
          <w:szCs w:val="22"/>
        </w:rPr>
      </w:pPr>
    </w:p>
    <w:p w14:paraId="684BF370" w14:textId="77777777" w:rsidR="00EC242C" w:rsidRPr="006C6882" w:rsidRDefault="00EC242C" w:rsidP="00EC242C">
      <w:pPr>
        <w:autoSpaceDE w:val="0"/>
        <w:autoSpaceDN w:val="0"/>
        <w:adjustRightInd w:val="0"/>
        <w:ind w:left="1068"/>
        <w:jc w:val="both"/>
        <w:rPr>
          <w:rFonts w:ascii="Arial" w:hAnsi="Arial" w:cs="Arial"/>
          <w:color w:val="000000"/>
        </w:rPr>
      </w:pPr>
      <w:r w:rsidRPr="006C6882">
        <w:rPr>
          <w:rFonts w:ascii="Arial" w:hAnsi="Arial" w:cs="Arial"/>
          <w:color w:val="000000"/>
        </w:rPr>
        <w:t>El Patrimonio Técnico está estrechamente relacionado con la solvencia de una Aseguradora para atender sus obligaciones, pues su finalidad es permitir a esa entidad hacer frente a sucesos imprevistos, sin afectar su estabilidad financiera.</w:t>
      </w:r>
    </w:p>
    <w:p w14:paraId="44C70D0B" w14:textId="77777777" w:rsidR="00EC242C" w:rsidRPr="006C6882" w:rsidRDefault="00EC242C" w:rsidP="00EC242C">
      <w:pPr>
        <w:autoSpaceDE w:val="0"/>
        <w:autoSpaceDN w:val="0"/>
        <w:adjustRightInd w:val="0"/>
        <w:ind w:left="1068"/>
        <w:jc w:val="both"/>
        <w:rPr>
          <w:rFonts w:ascii="Arial" w:hAnsi="Arial" w:cs="Arial"/>
          <w:color w:val="000000"/>
        </w:rPr>
      </w:pPr>
      <w:r w:rsidRPr="006C6882">
        <w:rPr>
          <w:rFonts w:ascii="Arial" w:hAnsi="Arial" w:cs="Arial"/>
          <w:color w:val="000000"/>
        </w:rPr>
        <w:t xml:space="preserve">Normativamente, la relación debe ser como mínimo 100%, de tal suerte que las Aseguradoras cuenten con al menos un nivel superavitario para atender los eventos imprevisibles que el concepto engloba. </w:t>
      </w:r>
    </w:p>
    <w:p w14:paraId="234C346B" w14:textId="77777777" w:rsidR="00EC242C" w:rsidRPr="006C6882" w:rsidRDefault="00EC242C" w:rsidP="00EC242C">
      <w:pPr>
        <w:pStyle w:val="Prrafodelista"/>
        <w:autoSpaceDE w:val="0"/>
        <w:autoSpaceDN w:val="0"/>
        <w:adjustRightInd w:val="0"/>
        <w:ind w:left="1068"/>
        <w:rPr>
          <w:rFonts w:cs="Arial"/>
          <w:color w:val="000000"/>
          <w:sz w:val="22"/>
          <w:szCs w:val="22"/>
        </w:rPr>
      </w:pPr>
      <w:r w:rsidRPr="006C6882">
        <w:rPr>
          <w:rFonts w:cs="Arial"/>
          <w:color w:val="000000"/>
          <w:sz w:val="22"/>
          <w:szCs w:val="22"/>
        </w:rPr>
        <w:t>El umbral escogido se tomó con base en las estadísticas descriptivas de la serie histórica, tomando como referencias los percentiles 10 y 20.</w:t>
      </w:r>
    </w:p>
    <w:p w14:paraId="4DC79C5E" w14:textId="77777777" w:rsidR="00EC242C" w:rsidRPr="006C6882" w:rsidRDefault="00EC242C" w:rsidP="003A042B">
      <w:pPr>
        <w:pStyle w:val="Prrafodelista"/>
        <w:autoSpaceDE w:val="0"/>
        <w:autoSpaceDN w:val="0"/>
        <w:adjustRightInd w:val="0"/>
        <w:spacing w:after="240"/>
        <w:ind w:left="1068"/>
        <w:contextualSpacing/>
        <w:rPr>
          <w:rFonts w:cs="Arial"/>
          <w:color w:val="000000"/>
          <w:sz w:val="22"/>
          <w:szCs w:val="22"/>
        </w:rPr>
      </w:pPr>
    </w:p>
    <w:p w14:paraId="5F05E4D9" w14:textId="66C279CD" w:rsidR="00EC242C" w:rsidRPr="006C6882" w:rsidRDefault="00EC242C" w:rsidP="003A042B">
      <w:pPr>
        <w:pStyle w:val="Prrafodelista"/>
        <w:numPr>
          <w:ilvl w:val="0"/>
          <w:numId w:val="16"/>
        </w:numPr>
        <w:autoSpaceDE w:val="0"/>
        <w:autoSpaceDN w:val="0"/>
        <w:adjustRightInd w:val="0"/>
        <w:spacing w:after="240"/>
        <w:ind w:left="1068"/>
        <w:contextualSpacing/>
        <w:rPr>
          <w:rFonts w:cs="Arial"/>
          <w:color w:val="000000"/>
          <w:sz w:val="22"/>
          <w:szCs w:val="22"/>
        </w:rPr>
      </w:pPr>
      <w:r w:rsidRPr="006C6882">
        <w:rPr>
          <w:rFonts w:cs="Arial"/>
          <w:b/>
          <w:bCs/>
          <w:color w:val="000000" w:themeColor="text1"/>
          <w:sz w:val="22"/>
          <w:szCs w:val="22"/>
        </w:rPr>
        <w:t>Nivel de endeudamiento:</w:t>
      </w:r>
      <w:r w:rsidRPr="006C6882">
        <w:rPr>
          <w:rFonts w:cs="Arial"/>
          <w:color w:val="000000" w:themeColor="text1"/>
          <w:sz w:val="22"/>
          <w:szCs w:val="22"/>
        </w:rPr>
        <w:t xml:space="preserve">  </w:t>
      </w:r>
      <w:r w:rsidRPr="006C6882">
        <w:rPr>
          <w:rFonts w:cs="Arial"/>
          <w:color w:val="000000"/>
          <w:sz w:val="22"/>
          <w:szCs w:val="22"/>
        </w:rPr>
        <w:t xml:space="preserve">Es la relación entre el pasivo y el activo de la Aseguradora. Señala la proporción en la cual participan los acreedores sobre el valor total de la Compañía. </w:t>
      </w:r>
    </w:p>
    <w:p w14:paraId="00293C7E" w14:textId="77777777" w:rsidR="00EC242C" w:rsidRPr="006C6882" w:rsidRDefault="00EC242C" w:rsidP="003A042B">
      <w:pPr>
        <w:pStyle w:val="Prrafodelista"/>
        <w:autoSpaceDE w:val="0"/>
        <w:autoSpaceDN w:val="0"/>
        <w:adjustRightInd w:val="0"/>
        <w:ind w:left="1068"/>
        <w:rPr>
          <w:rFonts w:cs="Arial"/>
          <w:color w:val="000000"/>
          <w:sz w:val="22"/>
          <w:szCs w:val="22"/>
        </w:rPr>
      </w:pPr>
    </w:p>
    <w:p w14:paraId="49025137" w14:textId="77777777" w:rsidR="00EC242C" w:rsidRPr="006C6882" w:rsidRDefault="00EC242C" w:rsidP="003A042B">
      <w:pPr>
        <w:pStyle w:val="Prrafodelista"/>
        <w:autoSpaceDE w:val="0"/>
        <w:autoSpaceDN w:val="0"/>
        <w:adjustRightInd w:val="0"/>
        <w:ind w:left="1068"/>
        <w:rPr>
          <w:rFonts w:cs="Arial"/>
          <w:color w:val="000000"/>
          <w:sz w:val="22"/>
          <w:szCs w:val="22"/>
        </w:rPr>
      </w:pPr>
      <w:r w:rsidRPr="006C6882">
        <w:rPr>
          <w:rFonts w:cs="Arial"/>
          <w:color w:val="000000"/>
          <w:sz w:val="22"/>
          <w:szCs w:val="22"/>
        </w:rPr>
        <w:t>El nivel de endeudamiento nos permite determinar la capacidad que tienen las Aseguradoras, para cubrir adecuadamente el pago de las obligaciones a su cargo, desde una óptica de liquidez propia o a través de mecanismos financieros externos.</w:t>
      </w:r>
    </w:p>
    <w:p w14:paraId="78F28199" w14:textId="77777777" w:rsidR="00EC242C" w:rsidRPr="006C6882" w:rsidRDefault="00EC242C" w:rsidP="003A042B">
      <w:pPr>
        <w:pStyle w:val="Prrafodelista"/>
        <w:autoSpaceDE w:val="0"/>
        <w:autoSpaceDN w:val="0"/>
        <w:adjustRightInd w:val="0"/>
        <w:ind w:left="1068"/>
        <w:rPr>
          <w:rFonts w:cs="Arial"/>
          <w:color w:val="000000"/>
          <w:sz w:val="22"/>
          <w:szCs w:val="22"/>
        </w:rPr>
      </w:pPr>
    </w:p>
    <w:p w14:paraId="0A62B1E9" w14:textId="77777777" w:rsidR="00EC242C" w:rsidRPr="006C6882" w:rsidRDefault="00EC242C" w:rsidP="003A042B">
      <w:pPr>
        <w:pStyle w:val="Prrafodelista"/>
        <w:autoSpaceDE w:val="0"/>
        <w:autoSpaceDN w:val="0"/>
        <w:adjustRightInd w:val="0"/>
        <w:ind w:left="1068"/>
        <w:rPr>
          <w:rFonts w:cs="Arial"/>
          <w:i/>
          <w:iCs/>
          <w:color w:val="000000"/>
          <w:sz w:val="22"/>
          <w:szCs w:val="22"/>
        </w:rPr>
      </w:pPr>
      <w:r w:rsidRPr="006C6882">
        <w:rPr>
          <w:rFonts w:cs="Arial"/>
          <w:color w:val="000000"/>
          <w:sz w:val="22"/>
          <w:szCs w:val="22"/>
        </w:rPr>
        <w:t>El umbral escogido se tomó con base en las estadísticas descriptivas de la serie histórica, tomando como referencias los percentiles 80 y 90.</w:t>
      </w:r>
    </w:p>
    <w:p w14:paraId="074FFDB5" w14:textId="77777777" w:rsidR="00EC242C" w:rsidRPr="006C6882" w:rsidRDefault="00EC242C" w:rsidP="003A042B">
      <w:pPr>
        <w:pStyle w:val="Prrafodelista"/>
        <w:autoSpaceDE w:val="0"/>
        <w:autoSpaceDN w:val="0"/>
        <w:adjustRightInd w:val="0"/>
        <w:ind w:left="1068"/>
        <w:rPr>
          <w:rFonts w:cs="Arial"/>
          <w:color w:val="000000"/>
          <w:sz w:val="22"/>
          <w:szCs w:val="22"/>
        </w:rPr>
      </w:pPr>
    </w:p>
    <w:p w14:paraId="22C4B5DD" w14:textId="77777777" w:rsidR="00EC242C" w:rsidRPr="006C6882" w:rsidRDefault="00EC242C" w:rsidP="003A042B">
      <w:pPr>
        <w:pStyle w:val="Prrafodelista"/>
        <w:numPr>
          <w:ilvl w:val="0"/>
          <w:numId w:val="15"/>
        </w:numPr>
        <w:autoSpaceDE w:val="0"/>
        <w:autoSpaceDN w:val="0"/>
        <w:adjustRightInd w:val="0"/>
        <w:ind w:left="1068"/>
        <w:rPr>
          <w:rFonts w:cs="Arial"/>
          <w:i/>
          <w:iCs/>
          <w:color w:val="000000"/>
          <w:sz w:val="22"/>
          <w:szCs w:val="22"/>
        </w:rPr>
      </w:pPr>
      <w:r w:rsidRPr="006C6882">
        <w:rPr>
          <w:rFonts w:cs="Arial"/>
          <w:b/>
          <w:bCs/>
          <w:color w:val="000000"/>
          <w:sz w:val="22"/>
          <w:szCs w:val="22"/>
        </w:rPr>
        <w:t xml:space="preserve">Respaldo reservas técnicas: </w:t>
      </w:r>
      <w:r w:rsidRPr="006C6882">
        <w:rPr>
          <w:rFonts w:cs="Arial"/>
          <w:color w:val="000000"/>
          <w:sz w:val="22"/>
          <w:szCs w:val="22"/>
        </w:rPr>
        <w:t xml:space="preserve">Dado que las reservas técnicas son los recursos que destina la Aseguradora para el pago de las indemnizaciones, el Banco requiere que las aseguradoras que participen en este proceso cumplan con las disposiciones legales </w:t>
      </w:r>
      <w:proofErr w:type="gramStart"/>
      <w:r w:rsidRPr="006C6882">
        <w:rPr>
          <w:rFonts w:cs="Arial"/>
          <w:color w:val="000000"/>
          <w:sz w:val="22"/>
          <w:szCs w:val="22"/>
        </w:rPr>
        <w:t>y</w:t>
      </w:r>
      <w:proofErr w:type="gramEnd"/>
      <w:r w:rsidRPr="006C6882">
        <w:rPr>
          <w:rFonts w:cs="Arial"/>
          <w:color w:val="000000"/>
          <w:sz w:val="22"/>
          <w:szCs w:val="22"/>
        </w:rPr>
        <w:t xml:space="preserve"> por ende, tengan un indicador.</w:t>
      </w:r>
    </w:p>
    <w:p w14:paraId="6F81A018" w14:textId="77777777" w:rsidR="00EC242C" w:rsidRPr="006C6882" w:rsidRDefault="00EC242C" w:rsidP="003A042B">
      <w:pPr>
        <w:pStyle w:val="Prrafodelista"/>
        <w:autoSpaceDE w:val="0"/>
        <w:autoSpaceDN w:val="0"/>
        <w:adjustRightInd w:val="0"/>
        <w:ind w:left="1068"/>
        <w:rPr>
          <w:rFonts w:cs="Arial"/>
          <w:i/>
          <w:iCs/>
          <w:color w:val="000000"/>
          <w:sz w:val="22"/>
          <w:szCs w:val="22"/>
        </w:rPr>
      </w:pPr>
    </w:p>
    <w:p w14:paraId="5AE7BD7E" w14:textId="77777777" w:rsidR="00EC242C" w:rsidRPr="006C6882" w:rsidRDefault="00EC242C" w:rsidP="003A042B">
      <w:pPr>
        <w:spacing w:after="240"/>
        <w:ind w:left="1068"/>
        <w:jc w:val="both"/>
        <w:rPr>
          <w:rFonts w:ascii="Arial" w:hAnsi="Arial" w:cs="Arial"/>
          <w:color w:val="000000" w:themeColor="text1"/>
        </w:rPr>
      </w:pPr>
      <w:r w:rsidRPr="006C6882">
        <w:rPr>
          <w:rFonts w:ascii="Arial" w:hAnsi="Arial" w:cs="Arial"/>
          <w:color w:val="000000" w:themeColor="text1"/>
        </w:rPr>
        <w:t xml:space="preserve">Mide la cobertura de las reservas técnicas mediante el efectivo, las inversiones y las reservas técnicas de la parte de reaseguradores (activo). </w:t>
      </w:r>
    </w:p>
    <w:p w14:paraId="075D5F85" w14:textId="77777777" w:rsidR="00EC242C" w:rsidRPr="006C6882" w:rsidRDefault="00EC242C" w:rsidP="003A042B">
      <w:pPr>
        <w:pStyle w:val="Prrafodelista"/>
        <w:autoSpaceDE w:val="0"/>
        <w:autoSpaceDN w:val="0"/>
        <w:adjustRightInd w:val="0"/>
        <w:ind w:left="1068"/>
        <w:rPr>
          <w:rFonts w:cs="Arial"/>
          <w:color w:val="000000"/>
          <w:sz w:val="22"/>
          <w:szCs w:val="22"/>
        </w:rPr>
      </w:pPr>
      <w:r w:rsidRPr="006C6882">
        <w:rPr>
          <w:rFonts w:cs="Arial"/>
          <w:color w:val="000000"/>
          <w:sz w:val="22"/>
          <w:szCs w:val="22"/>
        </w:rPr>
        <w:t>El umbral escogido se tomó con base en las estadísticas descriptivas de la serie histórica, tomando como referencias los percentiles 10 y 20.</w:t>
      </w:r>
    </w:p>
    <w:p w14:paraId="24263581" w14:textId="77777777" w:rsidR="00EC242C" w:rsidRPr="006C6882" w:rsidRDefault="00EC242C" w:rsidP="003A042B">
      <w:pPr>
        <w:pStyle w:val="Prrafodelista"/>
        <w:autoSpaceDE w:val="0"/>
        <w:autoSpaceDN w:val="0"/>
        <w:adjustRightInd w:val="0"/>
        <w:ind w:left="1068"/>
        <w:rPr>
          <w:rFonts w:cs="Arial"/>
          <w:i/>
          <w:iCs/>
          <w:color w:val="000000"/>
          <w:sz w:val="22"/>
          <w:szCs w:val="22"/>
        </w:rPr>
      </w:pPr>
    </w:p>
    <w:p w14:paraId="49FBF283" w14:textId="77777777" w:rsidR="00EC242C" w:rsidRPr="006C6882" w:rsidRDefault="00EC242C" w:rsidP="003A042B">
      <w:pPr>
        <w:pStyle w:val="Prrafodelista"/>
        <w:autoSpaceDE w:val="0"/>
        <w:autoSpaceDN w:val="0"/>
        <w:adjustRightInd w:val="0"/>
        <w:ind w:left="1068"/>
        <w:rPr>
          <w:rFonts w:cs="Arial"/>
          <w:color w:val="000000"/>
          <w:sz w:val="22"/>
          <w:szCs w:val="22"/>
        </w:rPr>
      </w:pPr>
    </w:p>
    <w:p w14:paraId="619378E9" w14:textId="77777777" w:rsidR="00EC242C" w:rsidRPr="006C6882" w:rsidRDefault="00EC242C" w:rsidP="003A042B">
      <w:pPr>
        <w:pStyle w:val="Prrafodelista"/>
        <w:numPr>
          <w:ilvl w:val="0"/>
          <w:numId w:val="15"/>
        </w:numPr>
        <w:autoSpaceDE w:val="0"/>
        <w:autoSpaceDN w:val="0"/>
        <w:adjustRightInd w:val="0"/>
        <w:spacing w:after="240"/>
        <w:ind w:left="1068"/>
        <w:rPr>
          <w:rFonts w:cs="Arial"/>
          <w:color w:val="000000" w:themeColor="text1"/>
          <w:sz w:val="22"/>
          <w:szCs w:val="22"/>
        </w:rPr>
      </w:pPr>
      <w:r w:rsidRPr="006C6882">
        <w:rPr>
          <w:rFonts w:cs="Arial"/>
          <w:b/>
          <w:bCs/>
          <w:color w:val="000000"/>
          <w:sz w:val="22"/>
          <w:szCs w:val="22"/>
        </w:rPr>
        <w:lastRenderedPageBreak/>
        <w:t xml:space="preserve">Tasa neta de riesgo: </w:t>
      </w:r>
      <w:r w:rsidRPr="006C6882">
        <w:rPr>
          <w:rFonts w:cs="Arial"/>
          <w:color w:val="000000" w:themeColor="text1"/>
          <w:sz w:val="22"/>
          <w:szCs w:val="22"/>
        </w:rPr>
        <w:t>Este indicador mide el grado en que está apalancado el negocio de seguros netos, e indica la exposición del capital a errores de fijación de precios. Dado que las primas retenidas dependen tanto del volumen de suscripción como por la determinación de las tasas de primas, la interpretación del indicador debe tener en cuenta que una reducción adversa de las tasas de primas mejora artificialmente el indicador.</w:t>
      </w:r>
    </w:p>
    <w:p w14:paraId="71925D01" w14:textId="77777777" w:rsidR="00EC242C" w:rsidRPr="006C6882" w:rsidRDefault="00EC242C" w:rsidP="003A042B">
      <w:pPr>
        <w:spacing w:after="240"/>
        <w:ind w:left="1068"/>
        <w:jc w:val="both"/>
        <w:rPr>
          <w:rFonts w:ascii="Arial" w:hAnsi="Arial" w:cs="Arial"/>
          <w:color w:val="000000" w:themeColor="text1"/>
        </w:rPr>
      </w:pPr>
      <w:r w:rsidRPr="006C6882">
        <w:rPr>
          <w:rFonts w:ascii="Arial" w:hAnsi="Arial" w:cs="Arial"/>
          <w:color w:val="000000" w:themeColor="text1"/>
        </w:rPr>
        <w:t>Cuanto mayor sea el indicador, mayor es el riesgo asumido con relación al excedente de los asegurados (patrimonio).</w:t>
      </w:r>
    </w:p>
    <w:p w14:paraId="1706F1D1" w14:textId="77777777" w:rsidR="00EC242C" w:rsidRPr="006C6882" w:rsidRDefault="00EC242C" w:rsidP="003A042B">
      <w:pPr>
        <w:spacing w:after="240"/>
        <w:ind w:left="1068"/>
        <w:jc w:val="both"/>
        <w:rPr>
          <w:rFonts w:ascii="Arial" w:hAnsi="Arial" w:cs="Arial"/>
          <w:color w:val="000000" w:themeColor="text1"/>
        </w:rPr>
      </w:pPr>
      <w:r w:rsidRPr="006C6882">
        <w:rPr>
          <w:rFonts w:ascii="Arial" w:hAnsi="Arial" w:cs="Arial"/>
          <w:color w:val="000000" w:themeColor="text1"/>
        </w:rPr>
        <w:t xml:space="preserve">De acuerdo con la </w:t>
      </w:r>
      <w:proofErr w:type="spellStart"/>
      <w:r w:rsidRPr="006C6882">
        <w:rPr>
          <w:rFonts w:ascii="Arial" w:hAnsi="Arial" w:cs="Arial"/>
          <w:color w:val="000000" w:themeColor="text1"/>
        </w:rPr>
        <w:t>National</w:t>
      </w:r>
      <w:proofErr w:type="spellEnd"/>
      <w:r w:rsidRPr="006C6882">
        <w:rPr>
          <w:rFonts w:ascii="Arial" w:hAnsi="Arial" w:cs="Arial"/>
          <w:color w:val="000000" w:themeColor="text1"/>
        </w:rPr>
        <w:t xml:space="preserve"> </w:t>
      </w:r>
      <w:proofErr w:type="spellStart"/>
      <w:r w:rsidRPr="006C6882">
        <w:rPr>
          <w:rFonts w:ascii="Arial" w:hAnsi="Arial" w:cs="Arial"/>
          <w:color w:val="000000" w:themeColor="text1"/>
        </w:rPr>
        <w:t>Association</w:t>
      </w:r>
      <w:proofErr w:type="spellEnd"/>
      <w:r w:rsidRPr="006C6882">
        <w:rPr>
          <w:rFonts w:ascii="Arial" w:hAnsi="Arial" w:cs="Arial"/>
          <w:color w:val="000000" w:themeColor="text1"/>
        </w:rPr>
        <w:t xml:space="preserve"> </w:t>
      </w:r>
      <w:proofErr w:type="spellStart"/>
      <w:r w:rsidRPr="006C6882">
        <w:rPr>
          <w:rFonts w:ascii="Arial" w:hAnsi="Arial" w:cs="Arial"/>
          <w:color w:val="000000" w:themeColor="text1"/>
        </w:rPr>
        <w:t>of</w:t>
      </w:r>
      <w:proofErr w:type="spellEnd"/>
      <w:r w:rsidRPr="006C6882">
        <w:rPr>
          <w:rFonts w:ascii="Arial" w:hAnsi="Arial" w:cs="Arial"/>
          <w:color w:val="000000" w:themeColor="text1"/>
        </w:rPr>
        <w:t xml:space="preserve"> </w:t>
      </w:r>
      <w:proofErr w:type="spellStart"/>
      <w:r w:rsidRPr="006C6882">
        <w:rPr>
          <w:rFonts w:ascii="Arial" w:hAnsi="Arial" w:cs="Arial"/>
          <w:color w:val="000000" w:themeColor="text1"/>
        </w:rPr>
        <w:t>Insurance</w:t>
      </w:r>
      <w:proofErr w:type="spellEnd"/>
      <w:r w:rsidRPr="006C6882">
        <w:rPr>
          <w:rFonts w:ascii="Arial" w:hAnsi="Arial" w:cs="Arial"/>
          <w:color w:val="000000" w:themeColor="text1"/>
        </w:rPr>
        <w:t xml:space="preserve"> </w:t>
      </w:r>
      <w:proofErr w:type="spellStart"/>
      <w:r w:rsidRPr="006C6882">
        <w:rPr>
          <w:rFonts w:ascii="Arial" w:hAnsi="Arial" w:cs="Arial"/>
          <w:color w:val="000000" w:themeColor="text1"/>
        </w:rPr>
        <w:t>Commissioners</w:t>
      </w:r>
      <w:proofErr w:type="spellEnd"/>
      <w:r w:rsidRPr="006C6882">
        <w:rPr>
          <w:rFonts w:ascii="Arial" w:hAnsi="Arial" w:cs="Arial"/>
          <w:color w:val="000000" w:themeColor="text1"/>
        </w:rPr>
        <w:t>, es potencialmente riesgoso para una aseguradora asumir primas retenidas que superen en 3 veces a su patrimonio.</w:t>
      </w:r>
    </w:p>
    <w:p w14:paraId="00779B8C" w14:textId="77777777" w:rsidR="00EC242C" w:rsidRPr="006C6882" w:rsidRDefault="00EC242C" w:rsidP="003A042B">
      <w:pPr>
        <w:pStyle w:val="Prrafodelista"/>
        <w:autoSpaceDE w:val="0"/>
        <w:autoSpaceDN w:val="0"/>
        <w:adjustRightInd w:val="0"/>
        <w:ind w:left="1068"/>
        <w:rPr>
          <w:rFonts w:cs="Arial"/>
          <w:color w:val="000000"/>
          <w:sz w:val="22"/>
          <w:szCs w:val="22"/>
        </w:rPr>
      </w:pPr>
      <w:r w:rsidRPr="006C6882">
        <w:rPr>
          <w:rFonts w:cs="Arial"/>
          <w:color w:val="000000"/>
          <w:sz w:val="22"/>
          <w:szCs w:val="22"/>
        </w:rPr>
        <w:t>El umbral escogido se tomó con base en las estadísticas descriptivas de la serie histórica, tomando como referencias los percentiles 10 y 20.</w:t>
      </w:r>
    </w:p>
    <w:p w14:paraId="387B06AE" w14:textId="77777777" w:rsidR="00EC242C" w:rsidRPr="006C6882" w:rsidRDefault="00EC242C" w:rsidP="00EC242C">
      <w:pPr>
        <w:pStyle w:val="Prrafodelista"/>
        <w:autoSpaceDE w:val="0"/>
        <w:autoSpaceDN w:val="0"/>
        <w:adjustRightInd w:val="0"/>
        <w:ind w:left="1440"/>
        <w:rPr>
          <w:rFonts w:cs="Arial"/>
          <w:b/>
          <w:bCs/>
          <w:color w:val="000000"/>
          <w:sz w:val="22"/>
          <w:szCs w:val="22"/>
        </w:rPr>
      </w:pPr>
    </w:p>
    <w:p w14:paraId="56C3F1AF" w14:textId="77777777" w:rsidR="00BF6A07" w:rsidRPr="006C6882" w:rsidRDefault="00BF6A07" w:rsidP="00BF6A07">
      <w:pPr>
        <w:pStyle w:val="Prrafodelista"/>
        <w:numPr>
          <w:ilvl w:val="0"/>
          <w:numId w:val="14"/>
        </w:numPr>
        <w:autoSpaceDE w:val="0"/>
        <w:autoSpaceDN w:val="0"/>
        <w:adjustRightInd w:val="0"/>
        <w:rPr>
          <w:rFonts w:cs="Arial"/>
          <w:color w:val="000000"/>
          <w:sz w:val="22"/>
          <w:szCs w:val="22"/>
        </w:rPr>
      </w:pPr>
      <w:r w:rsidRPr="006C6882">
        <w:rPr>
          <w:rFonts w:cs="Arial"/>
          <w:b/>
          <w:bCs/>
          <w:color w:val="000000"/>
          <w:sz w:val="22"/>
          <w:szCs w:val="22"/>
        </w:rPr>
        <w:t xml:space="preserve">Certificación de experiencia: </w:t>
      </w:r>
    </w:p>
    <w:p w14:paraId="361BA61C" w14:textId="77777777" w:rsidR="00BF6A07" w:rsidRPr="006C6882" w:rsidRDefault="00BF6A07" w:rsidP="00BF6A07">
      <w:pPr>
        <w:autoSpaceDE w:val="0"/>
        <w:autoSpaceDN w:val="0"/>
        <w:adjustRightInd w:val="0"/>
        <w:spacing w:after="0" w:line="240" w:lineRule="auto"/>
        <w:jc w:val="both"/>
        <w:rPr>
          <w:rFonts w:ascii="Arial" w:hAnsi="Arial" w:cs="Arial"/>
          <w:color w:val="000000"/>
        </w:rPr>
      </w:pPr>
    </w:p>
    <w:p w14:paraId="5DC04A59" w14:textId="77777777" w:rsidR="00BF6A07" w:rsidRPr="006C6882" w:rsidRDefault="00BF6A07" w:rsidP="00BF6A07">
      <w:pPr>
        <w:autoSpaceDE w:val="0"/>
        <w:autoSpaceDN w:val="0"/>
        <w:adjustRightInd w:val="0"/>
        <w:spacing w:after="0" w:line="240" w:lineRule="auto"/>
        <w:ind w:left="708"/>
        <w:jc w:val="both"/>
        <w:rPr>
          <w:rFonts w:ascii="Arial" w:hAnsi="Arial" w:cs="Arial"/>
          <w:color w:val="000000"/>
        </w:rPr>
      </w:pPr>
      <w:r w:rsidRPr="006C6882">
        <w:rPr>
          <w:rFonts w:ascii="Arial" w:hAnsi="Arial" w:cs="Arial"/>
          <w:color w:val="000000"/>
        </w:rPr>
        <w:t xml:space="preserve">En el Banco Popular buscamos continuamente aliados estratégicos para consolidar relaciones sólidas y duraderas, lograr el cumplimiento de metas conjuntas y avanzar hacia el propósito de convertirnos en el Banco principal de nuestros clientes, por esta razón es importante conocer la capacidad de la Aseguradora para la atención y administración de la operación de seguros objeto de esta licitación. </w:t>
      </w:r>
    </w:p>
    <w:p w14:paraId="34F131CB" w14:textId="77777777" w:rsidR="00AA3BC9" w:rsidRPr="006C6882" w:rsidRDefault="00AA3BC9" w:rsidP="00D0434B">
      <w:pPr>
        <w:autoSpaceDE w:val="0"/>
        <w:autoSpaceDN w:val="0"/>
        <w:adjustRightInd w:val="0"/>
        <w:spacing w:after="0" w:line="240" w:lineRule="auto"/>
        <w:ind w:left="1416"/>
        <w:jc w:val="both"/>
        <w:rPr>
          <w:rFonts w:ascii="Arial" w:hAnsi="Arial" w:cs="Arial"/>
          <w:color w:val="000000"/>
        </w:rPr>
      </w:pPr>
    </w:p>
    <w:p w14:paraId="240FFD15" w14:textId="77777777" w:rsidR="00C75559" w:rsidRPr="006C6882" w:rsidRDefault="00C75559" w:rsidP="00D0434B">
      <w:pPr>
        <w:pStyle w:val="Prrafodelista"/>
        <w:numPr>
          <w:ilvl w:val="0"/>
          <w:numId w:val="14"/>
        </w:numPr>
        <w:autoSpaceDE w:val="0"/>
        <w:autoSpaceDN w:val="0"/>
        <w:adjustRightInd w:val="0"/>
        <w:rPr>
          <w:rFonts w:cs="Arial"/>
          <w:color w:val="000000"/>
          <w:sz w:val="22"/>
          <w:szCs w:val="22"/>
        </w:rPr>
      </w:pPr>
      <w:r w:rsidRPr="006C6882">
        <w:rPr>
          <w:rFonts w:cs="Arial"/>
          <w:b/>
          <w:bCs/>
          <w:color w:val="000000"/>
          <w:sz w:val="22"/>
          <w:szCs w:val="22"/>
        </w:rPr>
        <w:t>Reasegurador(es)</w:t>
      </w:r>
      <w:r w:rsidRPr="006C6882">
        <w:rPr>
          <w:rFonts w:cs="Arial"/>
          <w:color w:val="000000"/>
          <w:sz w:val="22"/>
          <w:szCs w:val="22"/>
        </w:rPr>
        <w:t xml:space="preserve">: </w:t>
      </w:r>
    </w:p>
    <w:p w14:paraId="146CDB49" w14:textId="77777777" w:rsidR="00C75559" w:rsidRPr="006C6882" w:rsidRDefault="00C75559" w:rsidP="00C75559">
      <w:pPr>
        <w:autoSpaceDE w:val="0"/>
        <w:autoSpaceDN w:val="0"/>
        <w:adjustRightInd w:val="0"/>
        <w:spacing w:after="0" w:line="240" w:lineRule="auto"/>
        <w:jc w:val="both"/>
        <w:rPr>
          <w:rFonts w:ascii="Arial" w:hAnsi="Arial" w:cs="Arial"/>
          <w:color w:val="000000"/>
        </w:rPr>
      </w:pPr>
    </w:p>
    <w:p w14:paraId="2F252C07" w14:textId="77777777" w:rsidR="00C56311" w:rsidRPr="006C6882" w:rsidRDefault="00C75559" w:rsidP="00D0434B">
      <w:pPr>
        <w:autoSpaceDE w:val="0"/>
        <w:autoSpaceDN w:val="0"/>
        <w:adjustRightInd w:val="0"/>
        <w:spacing w:after="0" w:line="240" w:lineRule="auto"/>
        <w:ind w:left="708"/>
        <w:jc w:val="both"/>
        <w:rPr>
          <w:rFonts w:ascii="Arial" w:hAnsi="Arial" w:cs="Arial"/>
          <w:color w:val="000000"/>
        </w:rPr>
      </w:pPr>
      <w:r w:rsidRPr="006C6882">
        <w:rPr>
          <w:rFonts w:ascii="Arial" w:hAnsi="Arial" w:cs="Arial"/>
          <w:color w:val="000000"/>
        </w:rPr>
        <w:t>Con el fin de contar con la seguridad de que la cartera hipotecaria cuenta con el respaldo suficiente en caso de presentarse un evento catastrófico, para la entidad fi</w:t>
      </w:r>
      <w:r w:rsidR="00582B73" w:rsidRPr="006C6882">
        <w:rPr>
          <w:rFonts w:ascii="Arial" w:hAnsi="Arial" w:cs="Arial"/>
          <w:color w:val="000000"/>
        </w:rPr>
        <w:t>nanciera es importante que las A</w:t>
      </w:r>
      <w:r w:rsidRPr="006C6882">
        <w:rPr>
          <w:rFonts w:ascii="Arial" w:hAnsi="Arial" w:cs="Arial"/>
          <w:color w:val="000000"/>
        </w:rPr>
        <w:t>seguradoras dispongan de Compañías Reaseguradoras sólidas</w:t>
      </w:r>
      <w:r w:rsidR="00C56311" w:rsidRPr="006C6882">
        <w:rPr>
          <w:rFonts w:ascii="Arial" w:hAnsi="Arial" w:cs="Arial"/>
          <w:color w:val="000000"/>
        </w:rPr>
        <w:t>.</w:t>
      </w:r>
    </w:p>
    <w:p w14:paraId="4016DE56" w14:textId="77777777" w:rsidR="00D0434B" w:rsidRPr="006C6882" w:rsidRDefault="00C75559" w:rsidP="00D0434B">
      <w:pPr>
        <w:autoSpaceDE w:val="0"/>
        <w:autoSpaceDN w:val="0"/>
        <w:adjustRightInd w:val="0"/>
        <w:spacing w:after="0" w:line="240" w:lineRule="auto"/>
        <w:ind w:left="708"/>
        <w:jc w:val="both"/>
        <w:rPr>
          <w:rFonts w:ascii="Arial" w:hAnsi="Arial" w:cs="Arial"/>
          <w:color w:val="000000"/>
        </w:rPr>
      </w:pPr>
      <w:r w:rsidRPr="006C6882">
        <w:rPr>
          <w:rFonts w:ascii="Arial" w:hAnsi="Arial" w:cs="Arial"/>
          <w:color w:val="000000"/>
        </w:rPr>
        <w:t xml:space="preserve"> </w:t>
      </w:r>
    </w:p>
    <w:p w14:paraId="485C6242" w14:textId="77777777" w:rsidR="00C75559" w:rsidRPr="006C6882" w:rsidRDefault="00C75559" w:rsidP="00D0434B">
      <w:pPr>
        <w:pStyle w:val="Prrafodelista"/>
        <w:numPr>
          <w:ilvl w:val="0"/>
          <w:numId w:val="14"/>
        </w:numPr>
        <w:autoSpaceDE w:val="0"/>
        <w:autoSpaceDN w:val="0"/>
        <w:adjustRightInd w:val="0"/>
        <w:rPr>
          <w:rFonts w:cs="Arial"/>
          <w:color w:val="000000"/>
          <w:sz w:val="22"/>
          <w:szCs w:val="22"/>
        </w:rPr>
      </w:pPr>
      <w:r w:rsidRPr="006C6882">
        <w:rPr>
          <w:rFonts w:cs="Arial"/>
          <w:b/>
          <w:bCs/>
          <w:color w:val="000000"/>
          <w:sz w:val="22"/>
          <w:szCs w:val="22"/>
        </w:rPr>
        <w:t xml:space="preserve">Oficinas y/o puntos de servicio a nivel nacional: </w:t>
      </w:r>
    </w:p>
    <w:p w14:paraId="1B324FBA" w14:textId="77777777" w:rsidR="00C75559" w:rsidRPr="006C6882" w:rsidRDefault="00C75559" w:rsidP="00C75559">
      <w:pPr>
        <w:autoSpaceDE w:val="0"/>
        <w:autoSpaceDN w:val="0"/>
        <w:adjustRightInd w:val="0"/>
        <w:spacing w:after="0" w:line="240" w:lineRule="auto"/>
        <w:jc w:val="both"/>
        <w:rPr>
          <w:rFonts w:ascii="Arial" w:hAnsi="Arial" w:cs="Arial"/>
          <w:color w:val="000000"/>
        </w:rPr>
      </w:pPr>
    </w:p>
    <w:p w14:paraId="74294C90" w14:textId="77777777" w:rsidR="00C75559" w:rsidRPr="006C6882" w:rsidRDefault="00C75559" w:rsidP="00D0434B">
      <w:pPr>
        <w:autoSpaceDE w:val="0"/>
        <w:autoSpaceDN w:val="0"/>
        <w:adjustRightInd w:val="0"/>
        <w:spacing w:after="0" w:line="240" w:lineRule="auto"/>
        <w:ind w:left="708"/>
        <w:jc w:val="both"/>
        <w:rPr>
          <w:rFonts w:ascii="Arial" w:hAnsi="Arial" w:cs="Arial"/>
          <w:color w:val="000000"/>
        </w:rPr>
      </w:pPr>
      <w:r w:rsidRPr="006C6882">
        <w:rPr>
          <w:rFonts w:ascii="Arial" w:hAnsi="Arial" w:cs="Arial"/>
          <w:color w:val="000000"/>
        </w:rPr>
        <w:t xml:space="preserve">Teniendo en cuenta que el Banco ofrece servicios a nivel nacional, se requiere que las </w:t>
      </w:r>
      <w:r w:rsidR="00582B73" w:rsidRPr="006C6882">
        <w:rPr>
          <w:rFonts w:ascii="Arial" w:hAnsi="Arial" w:cs="Arial"/>
          <w:color w:val="000000"/>
        </w:rPr>
        <w:t>A</w:t>
      </w:r>
      <w:r w:rsidRPr="006C6882">
        <w:rPr>
          <w:rFonts w:ascii="Arial" w:hAnsi="Arial" w:cs="Arial"/>
          <w:color w:val="000000"/>
        </w:rPr>
        <w:t xml:space="preserve">seguradoras tengan una cobertura amplia que garanticen que en caso de siniestro la atención a los deudores sea de manera ágil y oportuna, para cualquier tipo de trámites y comunicaciones. </w:t>
      </w:r>
    </w:p>
    <w:p w14:paraId="6F6B20C7" w14:textId="77777777" w:rsidR="00D0434B" w:rsidRPr="006C6882" w:rsidRDefault="00D0434B" w:rsidP="00D0434B">
      <w:pPr>
        <w:autoSpaceDE w:val="0"/>
        <w:autoSpaceDN w:val="0"/>
        <w:adjustRightInd w:val="0"/>
        <w:spacing w:after="0" w:line="240" w:lineRule="auto"/>
        <w:ind w:left="708"/>
        <w:jc w:val="both"/>
        <w:rPr>
          <w:rFonts w:ascii="Arial" w:hAnsi="Arial" w:cs="Arial"/>
          <w:color w:val="000000"/>
        </w:rPr>
      </w:pPr>
    </w:p>
    <w:p w14:paraId="7BD564DB" w14:textId="77777777" w:rsidR="00BF6A07" w:rsidRPr="006C6882" w:rsidRDefault="00BF6A07" w:rsidP="00BF6A07">
      <w:pPr>
        <w:pStyle w:val="Prrafodelista"/>
        <w:numPr>
          <w:ilvl w:val="0"/>
          <w:numId w:val="14"/>
        </w:numPr>
        <w:autoSpaceDE w:val="0"/>
        <w:autoSpaceDN w:val="0"/>
        <w:adjustRightInd w:val="0"/>
        <w:rPr>
          <w:rFonts w:cs="Arial"/>
          <w:color w:val="000000"/>
          <w:sz w:val="22"/>
          <w:szCs w:val="22"/>
        </w:rPr>
      </w:pPr>
      <w:r w:rsidRPr="006C6882">
        <w:rPr>
          <w:rFonts w:cs="Arial"/>
          <w:b/>
          <w:bCs/>
          <w:color w:val="000000"/>
          <w:sz w:val="22"/>
          <w:szCs w:val="22"/>
        </w:rPr>
        <w:t xml:space="preserve">Sistema de Atención al Consumidor (SAC): </w:t>
      </w:r>
    </w:p>
    <w:p w14:paraId="448B1B6C" w14:textId="77777777" w:rsidR="00BF6A07" w:rsidRPr="006C6882" w:rsidRDefault="00BF6A07" w:rsidP="00BF6A07">
      <w:pPr>
        <w:autoSpaceDE w:val="0"/>
        <w:autoSpaceDN w:val="0"/>
        <w:adjustRightInd w:val="0"/>
        <w:spacing w:after="0" w:line="240" w:lineRule="auto"/>
        <w:jc w:val="both"/>
        <w:rPr>
          <w:rFonts w:ascii="Arial" w:hAnsi="Arial" w:cs="Arial"/>
          <w:color w:val="000000"/>
          <w:lang w:val="es-ES"/>
        </w:rPr>
      </w:pPr>
    </w:p>
    <w:p w14:paraId="27A7CD6F" w14:textId="6C23B17D" w:rsidR="00BF6A07" w:rsidRPr="006C6882" w:rsidRDefault="00756533" w:rsidP="00BF6A07">
      <w:pPr>
        <w:autoSpaceDE w:val="0"/>
        <w:autoSpaceDN w:val="0"/>
        <w:adjustRightInd w:val="0"/>
        <w:spacing w:after="0" w:line="240" w:lineRule="auto"/>
        <w:ind w:left="708"/>
        <w:jc w:val="both"/>
        <w:rPr>
          <w:rFonts w:ascii="Arial" w:hAnsi="Arial" w:cs="Arial"/>
        </w:rPr>
      </w:pPr>
      <w:r w:rsidRPr="006C6882">
        <w:rPr>
          <w:rFonts w:ascii="Arial" w:hAnsi="Arial" w:cs="Arial"/>
          <w:color w:val="000000"/>
        </w:rPr>
        <w:t>Para el Banco es necesario contar con la seguridad que las Aseguradoras oferentes disponen de un Sistema de Atención al Consumidor Financiero (SAC) dando cumplimiento a la Ley 1328 de 2009, la cual consagró un régimen especial de protección a los consumidores financieros.</w:t>
      </w:r>
    </w:p>
    <w:p w14:paraId="6B80F4F0" w14:textId="77777777" w:rsidR="00BF6A07" w:rsidRPr="006C6882" w:rsidRDefault="00BF6A07" w:rsidP="00D0434B">
      <w:pPr>
        <w:autoSpaceDE w:val="0"/>
        <w:autoSpaceDN w:val="0"/>
        <w:adjustRightInd w:val="0"/>
        <w:spacing w:after="0" w:line="240" w:lineRule="auto"/>
        <w:ind w:left="708"/>
        <w:jc w:val="both"/>
        <w:rPr>
          <w:rFonts w:ascii="Arial" w:hAnsi="Arial" w:cs="Arial"/>
          <w:color w:val="000000"/>
        </w:rPr>
      </w:pPr>
    </w:p>
    <w:p w14:paraId="0E6F4C60" w14:textId="77777777" w:rsidR="00C75559" w:rsidRPr="006C6882" w:rsidRDefault="00C75559" w:rsidP="00D0434B">
      <w:pPr>
        <w:pStyle w:val="Prrafodelista"/>
        <w:numPr>
          <w:ilvl w:val="0"/>
          <w:numId w:val="14"/>
        </w:numPr>
        <w:autoSpaceDE w:val="0"/>
        <w:autoSpaceDN w:val="0"/>
        <w:adjustRightInd w:val="0"/>
        <w:rPr>
          <w:rFonts w:cs="Arial"/>
          <w:color w:val="000000"/>
          <w:sz w:val="22"/>
          <w:szCs w:val="22"/>
        </w:rPr>
      </w:pPr>
      <w:r w:rsidRPr="006C6882">
        <w:rPr>
          <w:rFonts w:cs="Arial"/>
          <w:b/>
          <w:bCs/>
          <w:color w:val="000000"/>
          <w:sz w:val="22"/>
          <w:szCs w:val="22"/>
        </w:rPr>
        <w:t>Línea de atención 24 horas</w:t>
      </w:r>
      <w:r w:rsidRPr="006C6882">
        <w:rPr>
          <w:rFonts w:cs="Arial"/>
          <w:color w:val="000000"/>
          <w:sz w:val="22"/>
          <w:szCs w:val="22"/>
        </w:rPr>
        <w:t xml:space="preserve">: </w:t>
      </w:r>
    </w:p>
    <w:p w14:paraId="5ED1B040" w14:textId="77777777" w:rsidR="00C75559" w:rsidRPr="006C6882" w:rsidRDefault="00C75559" w:rsidP="00C75559">
      <w:pPr>
        <w:autoSpaceDE w:val="0"/>
        <w:autoSpaceDN w:val="0"/>
        <w:adjustRightInd w:val="0"/>
        <w:spacing w:after="0" w:line="240" w:lineRule="auto"/>
        <w:jc w:val="both"/>
        <w:rPr>
          <w:rFonts w:ascii="Arial" w:hAnsi="Arial" w:cs="Arial"/>
          <w:color w:val="000000"/>
        </w:rPr>
      </w:pPr>
    </w:p>
    <w:p w14:paraId="2D637BFD" w14:textId="77777777" w:rsidR="00C75559" w:rsidRPr="006C6882" w:rsidRDefault="00C75559" w:rsidP="00D0434B">
      <w:pPr>
        <w:autoSpaceDE w:val="0"/>
        <w:autoSpaceDN w:val="0"/>
        <w:adjustRightInd w:val="0"/>
        <w:spacing w:after="0" w:line="240" w:lineRule="auto"/>
        <w:ind w:left="708"/>
        <w:jc w:val="both"/>
        <w:rPr>
          <w:rFonts w:ascii="Arial" w:hAnsi="Arial" w:cs="Arial"/>
          <w:color w:val="000000"/>
        </w:rPr>
      </w:pPr>
      <w:r w:rsidRPr="006C6882">
        <w:rPr>
          <w:rFonts w:ascii="Arial" w:hAnsi="Arial" w:cs="Arial"/>
          <w:color w:val="000000"/>
        </w:rPr>
        <w:t xml:space="preserve">Garantizar el servicio con el fin de orientar, recibir, canalizar y dar soluciones en línea a los clientes del Banco Popular S.A. a nivel nacional. </w:t>
      </w:r>
    </w:p>
    <w:p w14:paraId="64311719" w14:textId="77777777" w:rsidR="006C6882" w:rsidRPr="006C6882" w:rsidRDefault="006C6882" w:rsidP="00D0434B">
      <w:pPr>
        <w:autoSpaceDE w:val="0"/>
        <w:autoSpaceDN w:val="0"/>
        <w:adjustRightInd w:val="0"/>
        <w:spacing w:after="0" w:line="240" w:lineRule="auto"/>
        <w:ind w:left="708"/>
        <w:jc w:val="both"/>
        <w:rPr>
          <w:rFonts w:ascii="Arial" w:hAnsi="Arial" w:cs="Arial"/>
          <w:color w:val="000000"/>
        </w:rPr>
      </w:pPr>
    </w:p>
    <w:p w14:paraId="51DD0E20" w14:textId="77777777" w:rsidR="005F0994" w:rsidRPr="006C6882" w:rsidRDefault="005F0994" w:rsidP="00D0434B">
      <w:pPr>
        <w:autoSpaceDE w:val="0"/>
        <w:autoSpaceDN w:val="0"/>
        <w:adjustRightInd w:val="0"/>
        <w:spacing w:after="0" w:line="240" w:lineRule="auto"/>
        <w:ind w:left="708"/>
        <w:jc w:val="both"/>
        <w:rPr>
          <w:rFonts w:ascii="Arial" w:hAnsi="Arial" w:cs="Arial"/>
          <w:color w:val="000000"/>
        </w:rPr>
      </w:pPr>
    </w:p>
    <w:p w14:paraId="5F7141AE" w14:textId="77777777" w:rsidR="00C75559" w:rsidRPr="006C6882" w:rsidRDefault="00C75559" w:rsidP="00D0434B">
      <w:pPr>
        <w:pStyle w:val="Prrafodelista"/>
        <w:numPr>
          <w:ilvl w:val="0"/>
          <w:numId w:val="14"/>
        </w:numPr>
        <w:autoSpaceDE w:val="0"/>
        <w:autoSpaceDN w:val="0"/>
        <w:adjustRightInd w:val="0"/>
        <w:rPr>
          <w:rFonts w:cs="Arial"/>
          <w:color w:val="000000"/>
          <w:sz w:val="22"/>
          <w:szCs w:val="22"/>
        </w:rPr>
      </w:pPr>
      <w:r w:rsidRPr="006C6882">
        <w:rPr>
          <w:rFonts w:cs="Arial"/>
          <w:b/>
          <w:bCs/>
          <w:color w:val="000000"/>
          <w:sz w:val="22"/>
          <w:szCs w:val="22"/>
        </w:rPr>
        <w:lastRenderedPageBreak/>
        <w:t>Planes de Continuidad del Negocio</w:t>
      </w:r>
      <w:r w:rsidRPr="006C6882">
        <w:rPr>
          <w:rFonts w:cs="Arial"/>
          <w:color w:val="000000"/>
          <w:sz w:val="22"/>
          <w:szCs w:val="22"/>
        </w:rPr>
        <w:t xml:space="preserve">: </w:t>
      </w:r>
    </w:p>
    <w:p w14:paraId="16F191D8" w14:textId="77777777" w:rsidR="00C75559" w:rsidRPr="006C6882" w:rsidRDefault="00C75559" w:rsidP="00C75559">
      <w:pPr>
        <w:autoSpaceDE w:val="0"/>
        <w:autoSpaceDN w:val="0"/>
        <w:adjustRightInd w:val="0"/>
        <w:spacing w:after="0" w:line="240" w:lineRule="auto"/>
        <w:jc w:val="both"/>
        <w:rPr>
          <w:rFonts w:ascii="Arial" w:hAnsi="Arial" w:cs="Arial"/>
          <w:color w:val="000000"/>
        </w:rPr>
      </w:pPr>
    </w:p>
    <w:p w14:paraId="4C74D8F2" w14:textId="7D9FF91A" w:rsidR="00582B73" w:rsidRPr="006C6882" w:rsidRDefault="00F27AAA" w:rsidP="00D0434B">
      <w:pPr>
        <w:autoSpaceDE w:val="0"/>
        <w:autoSpaceDN w:val="0"/>
        <w:adjustRightInd w:val="0"/>
        <w:spacing w:after="0" w:line="240" w:lineRule="auto"/>
        <w:ind w:left="708"/>
        <w:jc w:val="both"/>
        <w:rPr>
          <w:rFonts w:ascii="Arial" w:hAnsi="Arial" w:cs="Arial"/>
          <w:color w:val="000000"/>
        </w:rPr>
      </w:pPr>
      <w:r w:rsidRPr="006C6882">
        <w:rPr>
          <w:rFonts w:ascii="Arial" w:hAnsi="Arial" w:cs="Arial"/>
          <w:color w:val="000000"/>
        </w:rPr>
        <w:t>Para el Banco es necesario contar con que las Aseguradoras oferentes dispongan de un Plan de Continuidad de Negocio, que cubra los riesgos asociados entre otros, como desastres naturales, tecnológicos, de talento humano y que pueden impactar los servicios contratados con las Aseguradoras y que por ende afecten los procesos misionales y el cumplimiento de las normas establecidas por la Superintendencia Financiera que son de estricto cumplimiento por parte del Banco.</w:t>
      </w:r>
    </w:p>
    <w:p w14:paraId="39B38EB6" w14:textId="77777777" w:rsidR="00830CC0" w:rsidRPr="006C6882" w:rsidRDefault="00830CC0" w:rsidP="00D0434B">
      <w:pPr>
        <w:autoSpaceDE w:val="0"/>
        <w:autoSpaceDN w:val="0"/>
        <w:adjustRightInd w:val="0"/>
        <w:spacing w:after="0" w:line="240" w:lineRule="auto"/>
        <w:ind w:left="708"/>
        <w:jc w:val="both"/>
        <w:rPr>
          <w:rFonts w:ascii="Arial" w:hAnsi="Arial" w:cs="Arial"/>
          <w:color w:val="000000"/>
        </w:rPr>
      </w:pPr>
    </w:p>
    <w:p w14:paraId="5F38C379" w14:textId="77777777" w:rsidR="00C75559" w:rsidRPr="006C6882" w:rsidRDefault="00C75559" w:rsidP="00D0434B">
      <w:pPr>
        <w:pStyle w:val="Prrafodelista"/>
        <w:numPr>
          <w:ilvl w:val="0"/>
          <w:numId w:val="14"/>
        </w:numPr>
        <w:autoSpaceDE w:val="0"/>
        <w:autoSpaceDN w:val="0"/>
        <w:adjustRightInd w:val="0"/>
        <w:rPr>
          <w:rFonts w:cs="Arial"/>
          <w:color w:val="000000"/>
          <w:sz w:val="22"/>
          <w:szCs w:val="22"/>
        </w:rPr>
      </w:pPr>
      <w:r w:rsidRPr="006C6882">
        <w:rPr>
          <w:rFonts w:cs="Arial"/>
          <w:b/>
          <w:bCs/>
          <w:color w:val="000000"/>
          <w:sz w:val="22"/>
          <w:szCs w:val="22"/>
        </w:rPr>
        <w:t xml:space="preserve">Certificación sobre cumplimiento de los principios de equidad y suficiencia: </w:t>
      </w:r>
    </w:p>
    <w:p w14:paraId="1FAFE994" w14:textId="77777777" w:rsidR="00C75559" w:rsidRPr="006C6882" w:rsidRDefault="00C75559" w:rsidP="00C75559">
      <w:pPr>
        <w:autoSpaceDE w:val="0"/>
        <w:autoSpaceDN w:val="0"/>
        <w:adjustRightInd w:val="0"/>
        <w:spacing w:after="0" w:line="240" w:lineRule="auto"/>
        <w:jc w:val="both"/>
        <w:rPr>
          <w:rFonts w:ascii="Arial" w:hAnsi="Arial" w:cs="Arial"/>
          <w:color w:val="000000"/>
        </w:rPr>
      </w:pPr>
    </w:p>
    <w:p w14:paraId="3AA08678" w14:textId="77777777" w:rsidR="00C75559" w:rsidRPr="006C6882" w:rsidRDefault="00C75559" w:rsidP="00D0434B">
      <w:pPr>
        <w:autoSpaceDE w:val="0"/>
        <w:autoSpaceDN w:val="0"/>
        <w:adjustRightInd w:val="0"/>
        <w:spacing w:after="0" w:line="240" w:lineRule="auto"/>
        <w:ind w:left="708"/>
        <w:jc w:val="both"/>
        <w:rPr>
          <w:rFonts w:ascii="Arial" w:hAnsi="Arial" w:cs="Arial"/>
          <w:color w:val="000000"/>
        </w:rPr>
      </w:pPr>
      <w:r w:rsidRPr="006C6882">
        <w:rPr>
          <w:rFonts w:ascii="Arial" w:hAnsi="Arial" w:cs="Arial"/>
          <w:color w:val="000000"/>
        </w:rPr>
        <w:t xml:space="preserve">Con el propósito de evitar que, por un error en la estimación actuarial o técnica de la tasa o la forma de aplicarla por parte de las Aseguradoras proponentes, durante la vigencia del seguro contratado, se origine una situación de incapacidad económica de la Aseguradora, de responder ante las eventualidades objeto de la cobertura de los seguros licitados. </w:t>
      </w:r>
    </w:p>
    <w:p w14:paraId="3B5369CF" w14:textId="77777777" w:rsidR="00523B29" w:rsidRPr="006C6882" w:rsidRDefault="00523B29" w:rsidP="00D0434B">
      <w:pPr>
        <w:autoSpaceDE w:val="0"/>
        <w:autoSpaceDN w:val="0"/>
        <w:adjustRightInd w:val="0"/>
        <w:spacing w:after="0" w:line="240" w:lineRule="auto"/>
        <w:ind w:left="708"/>
        <w:jc w:val="both"/>
        <w:rPr>
          <w:rFonts w:ascii="Arial" w:hAnsi="Arial" w:cs="Arial"/>
          <w:color w:val="000000"/>
        </w:rPr>
      </w:pPr>
    </w:p>
    <w:p w14:paraId="0A0EF73B" w14:textId="77777777" w:rsidR="00C75559" w:rsidRPr="006C6882" w:rsidRDefault="00C75559" w:rsidP="00D0434B">
      <w:pPr>
        <w:pStyle w:val="Prrafodelista"/>
        <w:numPr>
          <w:ilvl w:val="0"/>
          <w:numId w:val="14"/>
        </w:numPr>
        <w:autoSpaceDE w:val="0"/>
        <w:autoSpaceDN w:val="0"/>
        <w:adjustRightInd w:val="0"/>
        <w:rPr>
          <w:rFonts w:cs="Arial"/>
          <w:color w:val="000000"/>
          <w:sz w:val="22"/>
          <w:szCs w:val="22"/>
        </w:rPr>
      </w:pPr>
      <w:r w:rsidRPr="006C6882">
        <w:rPr>
          <w:rFonts w:cs="Arial"/>
          <w:b/>
          <w:bCs/>
          <w:color w:val="000000"/>
          <w:sz w:val="22"/>
          <w:szCs w:val="22"/>
        </w:rPr>
        <w:t>No figurar en listas restrictivas</w:t>
      </w:r>
      <w:r w:rsidRPr="006C6882">
        <w:rPr>
          <w:rFonts w:cs="Arial"/>
          <w:color w:val="000000"/>
          <w:sz w:val="22"/>
          <w:szCs w:val="22"/>
        </w:rPr>
        <w:t xml:space="preserve">: </w:t>
      </w:r>
    </w:p>
    <w:p w14:paraId="7B2F3B6B" w14:textId="77777777" w:rsidR="00C75559" w:rsidRPr="006C6882" w:rsidRDefault="00C75559" w:rsidP="00C75559">
      <w:pPr>
        <w:autoSpaceDE w:val="0"/>
        <w:autoSpaceDN w:val="0"/>
        <w:adjustRightInd w:val="0"/>
        <w:spacing w:after="0" w:line="240" w:lineRule="auto"/>
        <w:jc w:val="both"/>
        <w:rPr>
          <w:rFonts w:ascii="Arial" w:hAnsi="Arial" w:cs="Arial"/>
          <w:color w:val="000000"/>
        </w:rPr>
      </w:pPr>
    </w:p>
    <w:p w14:paraId="5E075F6C" w14:textId="77777777" w:rsidR="00830CC0" w:rsidRPr="006C6882" w:rsidRDefault="00250400" w:rsidP="00250400">
      <w:pPr>
        <w:autoSpaceDE w:val="0"/>
        <w:autoSpaceDN w:val="0"/>
        <w:adjustRightInd w:val="0"/>
        <w:spacing w:after="0" w:line="240" w:lineRule="auto"/>
        <w:ind w:left="709"/>
        <w:jc w:val="both"/>
        <w:rPr>
          <w:rFonts w:ascii="Arial" w:hAnsi="Arial" w:cs="Arial"/>
          <w:color w:val="000000"/>
        </w:rPr>
      </w:pPr>
      <w:r w:rsidRPr="006C6882">
        <w:rPr>
          <w:rFonts w:ascii="Arial" w:hAnsi="Arial" w:cs="Arial"/>
          <w:color w:val="000000"/>
        </w:rPr>
        <w:t>Para garantizar el cumplimiento de las obligaciones internacionales de Colombia relativas al congelamiento y prohibición de manejo de fondos u otros activos de personas y entidades señaladas por el Consejo de Seguridad de las Naciones Unidas, asociadas a financiamiento del terrorismo y financiamiento de la proliferación de armas de destrucción masiva, en consonancia con el art. 20 de la Ley 1121 de 2006 y las Recomendaciones del GAFI en esta materia, las entidades vigiladas deben hacer seguimiento y monitoreo permanentemente a las Resoluciones 1267 de 1999, 1988 de 2011, 1373 de 2001, 1718 y 1737 de 2006 y 2178 de 2014 del Consejo de Seguridad de las Naciones Unidas y a todas aquellas que le sucedan, relacionen y complementen.</w:t>
      </w:r>
    </w:p>
    <w:p w14:paraId="7F58190A" w14:textId="77777777" w:rsidR="005E1BB9" w:rsidRPr="006C6882" w:rsidRDefault="005E1BB9" w:rsidP="00250400">
      <w:pPr>
        <w:autoSpaceDE w:val="0"/>
        <w:autoSpaceDN w:val="0"/>
        <w:adjustRightInd w:val="0"/>
        <w:spacing w:after="0" w:line="240" w:lineRule="auto"/>
        <w:ind w:left="709"/>
        <w:jc w:val="both"/>
        <w:rPr>
          <w:rFonts w:ascii="Arial" w:hAnsi="Arial" w:cs="Arial"/>
          <w:color w:val="000000"/>
        </w:rPr>
      </w:pPr>
    </w:p>
    <w:p w14:paraId="70DFBCCF" w14:textId="77777777" w:rsidR="005E1BB9" w:rsidRPr="006C6882" w:rsidRDefault="005E1BB9" w:rsidP="006C6882">
      <w:pPr>
        <w:pStyle w:val="Prrafodelista"/>
        <w:numPr>
          <w:ilvl w:val="0"/>
          <w:numId w:val="14"/>
        </w:numPr>
        <w:autoSpaceDE w:val="0"/>
        <w:autoSpaceDN w:val="0"/>
        <w:adjustRightInd w:val="0"/>
        <w:rPr>
          <w:rFonts w:cs="Arial"/>
          <w:b/>
          <w:bCs/>
          <w:color w:val="000000"/>
          <w:sz w:val="22"/>
          <w:szCs w:val="22"/>
        </w:rPr>
      </w:pPr>
      <w:r w:rsidRPr="006C6882">
        <w:rPr>
          <w:rFonts w:cs="Arial"/>
          <w:b/>
          <w:bCs/>
          <w:color w:val="000000"/>
          <w:sz w:val="22"/>
          <w:szCs w:val="22"/>
        </w:rPr>
        <w:t>Código de ética</w:t>
      </w:r>
    </w:p>
    <w:p w14:paraId="128B41FB" w14:textId="77777777" w:rsidR="006C6882" w:rsidRPr="006C6882" w:rsidRDefault="006C6882" w:rsidP="006C6882">
      <w:pPr>
        <w:pStyle w:val="Prrafodelista"/>
        <w:autoSpaceDE w:val="0"/>
        <w:autoSpaceDN w:val="0"/>
        <w:adjustRightInd w:val="0"/>
        <w:ind w:left="720"/>
        <w:rPr>
          <w:rFonts w:cs="Arial"/>
          <w:b/>
          <w:bCs/>
          <w:color w:val="000000"/>
          <w:sz w:val="22"/>
          <w:szCs w:val="22"/>
        </w:rPr>
      </w:pPr>
    </w:p>
    <w:p w14:paraId="2D28B8B4" w14:textId="13A7D935" w:rsidR="00AB5B0C" w:rsidRPr="006C6882" w:rsidRDefault="008A7039" w:rsidP="006C6882">
      <w:pPr>
        <w:pStyle w:val="Prrafodelista"/>
        <w:autoSpaceDE w:val="0"/>
        <w:autoSpaceDN w:val="0"/>
        <w:adjustRightInd w:val="0"/>
        <w:ind w:left="720"/>
        <w:rPr>
          <w:rFonts w:cs="Arial"/>
          <w:color w:val="000000"/>
          <w:sz w:val="22"/>
          <w:szCs w:val="22"/>
        </w:rPr>
      </w:pPr>
      <w:r w:rsidRPr="006C6882">
        <w:rPr>
          <w:rFonts w:cs="Arial"/>
          <w:color w:val="000000"/>
          <w:sz w:val="22"/>
          <w:szCs w:val="22"/>
        </w:rPr>
        <w:t>El cumplimiento del Código de Ética constituye un pilar fundamental en la contratación de seguros. Las compañías participantes deben demostrar actuaciones transparentes, íntegras y alineadas con los principios éticos que orientan el comportamiento esperado por la entidad. Esto implica que los proveedores mantengan prácticas responsables, rechacen cualquier forma de conflicto de interés y actúen siempre bajo criterios de honestidad, lealtad, objetividad y respeto por la normatividad aplicable. Garantizar estos estándares en el proceso de vinculación contribuye a relaciones comerciales confiables, sostenibles y coherentes con los valores institucionales</w:t>
      </w:r>
      <w:r w:rsidR="006C6882" w:rsidRPr="006C6882">
        <w:rPr>
          <w:rFonts w:cs="Arial"/>
          <w:color w:val="000000"/>
          <w:sz w:val="22"/>
          <w:szCs w:val="22"/>
        </w:rPr>
        <w:t>.</w:t>
      </w:r>
    </w:p>
    <w:p w14:paraId="4423FF6A" w14:textId="77777777" w:rsidR="006C6882" w:rsidRPr="006C6882" w:rsidRDefault="006C6882" w:rsidP="006C6882">
      <w:pPr>
        <w:pStyle w:val="Prrafodelista"/>
        <w:autoSpaceDE w:val="0"/>
        <w:autoSpaceDN w:val="0"/>
        <w:adjustRightInd w:val="0"/>
        <w:ind w:left="720"/>
        <w:rPr>
          <w:rFonts w:cs="Arial"/>
          <w:color w:val="000000"/>
          <w:sz w:val="22"/>
          <w:szCs w:val="22"/>
        </w:rPr>
      </w:pPr>
    </w:p>
    <w:p w14:paraId="31D457BB" w14:textId="32984F74" w:rsidR="00AD1AE5" w:rsidRPr="006C6882" w:rsidRDefault="006C6882" w:rsidP="006C6882">
      <w:pPr>
        <w:pStyle w:val="Prrafodelista"/>
        <w:numPr>
          <w:ilvl w:val="0"/>
          <w:numId w:val="14"/>
        </w:numPr>
        <w:autoSpaceDE w:val="0"/>
        <w:autoSpaceDN w:val="0"/>
        <w:adjustRightInd w:val="0"/>
        <w:rPr>
          <w:rFonts w:cs="Arial"/>
          <w:b/>
          <w:bCs/>
          <w:color w:val="000000"/>
          <w:sz w:val="22"/>
          <w:szCs w:val="22"/>
        </w:rPr>
      </w:pPr>
      <w:r w:rsidRPr="006C6882">
        <w:rPr>
          <w:rFonts w:cs="Arial"/>
          <w:b/>
          <w:bCs/>
          <w:color w:val="000000"/>
          <w:sz w:val="22"/>
          <w:szCs w:val="22"/>
        </w:rPr>
        <w:t>S</w:t>
      </w:r>
      <w:r w:rsidR="00AB5B0C" w:rsidRPr="006C6882">
        <w:rPr>
          <w:rFonts w:cs="Arial"/>
          <w:b/>
          <w:bCs/>
          <w:color w:val="000000"/>
          <w:sz w:val="22"/>
          <w:szCs w:val="22"/>
        </w:rPr>
        <w:t>istema de control interno</w:t>
      </w:r>
    </w:p>
    <w:p w14:paraId="1AD38810" w14:textId="77777777" w:rsidR="00AB5B0C" w:rsidRPr="006C6882" w:rsidRDefault="00AB5B0C" w:rsidP="0079648F">
      <w:pPr>
        <w:pStyle w:val="Prrafodelista"/>
        <w:autoSpaceDE w:val="0"/>
        <w:autoSpaceDN w:val="0"/>
        <w:adjustRightInd w:val="0"/>
        <w:ind w:left="720"/>
        <w:rPr>
          <w:rFonts w:eastAsiaTheme="minorHAnsi" w:cs="Arial"/>
          <w:sz w:val="22"/>
          <w:szCs w:val="22"/>
          <w:lang w:val="es-CO" w:eastAsia="en-US"/>
        </w:rPr>
      </w:pPr>
    </w:p>
    <w:p w14:paraId="61421ADA" w14:textId="5D69710B" w:rsidR="00AB5B0C" w:rsidRPr="006C6882" w:rsidRDefault="00AB5B0C" w:rsidP="0079648F">
      <w:pPr>
        <w:pStyle w:val="Prrafodelista"/>
        <w:autoSpaceDE w:val="0"/>
        <w:autoSpaceDN w:val="0"/>
        <w:adjustRightInd w:val="0"/>
        <w:ind w:left="720"/>
        <w:rPr>
          <w:rFonts w:eastAsiaTheme="minorHAnsi" w:cs="Arial"/>
          <w:color w:val="000000"/>
          <w:sz w:val="22"/>
          <w:szCs w:val="22"/>
          <w:lang w:val="es-CO" w:eastAsia="en-US"/>
        </w:rPr>
      </w:pPr>
      <w:r w:rsidRPr="006C6882">
        <w:rPr>
          <w:rFonts w:cs="Arial"/>
          <w:color w:val="000000"/>
          <w:sz w:val="22"/>
          <w:szCs w:val="22"/>
        </w:rPr>
        <w:t>Para garantizar que la aseguradora cumple con la debida gestión de riesgos y un sistema de control interno que permita asegurar el cumplimiento de las directrices impartidas por la Superintendencia Financiera que se ha establecido para los riesgos aplicables para el sector asegurador</w:t>
      </w:r>
      <w:r w:rsidR="006C6882" w:rsidRPr="006C6882">
        <w:rPr>
          <w:rFonts w:eastAsiaTheme="minorHAnsi" w:cs="Arial"/>
          <w:sz w:val="22"/>
          <w:szCs w:val="22"/>
          <w:lang w:val="es-CO" w:eastAsia="en-US"/>
        </w:rPr>
        <w:t>.</w:t>
      </w:r>
    </w:p>
    <w:sectPr w:rsidR="00AB5B0C" w:rsidRPr="006C6882" w:rsidSect="00C504E9">
      <w:pgSz w:w="12240" w:h="15840"/>
      <w:pgMar w:top="1417" w:right="1325" w:bottom="1417"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6531B"/>
    <w:multiLevelType w:val="hybridMultilevel"/>
    <w:tmpl w:val="DE90DFA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01D4DF8"/>
    <w:multiLevelType w:val="hybridMultilevel"/>
    <w:tmpl w:val="58FAEF8A"/>
    <w:lvl w:ilvl="0" w:tplc="240A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2406690"/>
    <w:multiLevelType w:val="multilevel"/>
    <w:tmpl w:val="240A001F"/>
    <w:lvl w:ilvl="0">
      <w:start w:val="1"/>
      <w:numFmt w:val="decimal"/>
      <w:lvlText w:val="%1."/>
      <w:lvlJc w:val="left"/>
      <w:pPr>
        <w:ind w:left="360" w:hanging="360"/>
      </w:pPr>
      <w:rPr>
        <w:rFonts w:hint="default"/>
      </w:rPr>
    </w:lvl>
    <w:lvl w:ilvl="1">
      <w:start w:val="1"/>
      <w:numFmt w:val="decimal"/>
      <w:lvlText w:val="%1.%2."/>
      <w:lvlJc w:val="left"/>
      <w:pPr>
        <w:ind w:left="1850" w:hanging="432"/>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b/>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2E50A54"/>
    <w:multiLevelType w:val="hybridMultilevel"/>
    <w:tmpl w:val="F8AEBE2A"/>
    <w:lvl w:ilvl="0" w:tplc="240A000D">
      <w:start w:val="1"/>
      <w:numFmt w:val="bullet"/>
      <w:lvlText w:val=""/>
      <w:lvlJc w:val="left"/>
      <w:pPr>
        <w:ind w:left="2653" w:hanging="360"/>
      </w:pPr>
      <w:rPr>
        <w:rFonts w:ascii="Wingdings" w:hAnsi="Wingdings" w:hint="default"/>
      </w:rPr>
    </w:lvl>
    <w:lvl w:ilvl="1" w:tplc="240A0003" w:tentative="1">
      <w:start w:val="1"/>
      <w:numFmt w:val="bullet"/>
      <w:lvlText w:val="o"/>
      <w:lvlJc w:val="left"/>
      <w:pPr>
        <w:ind w:left="3373" w:hanging="360"/>
      </w:pPr>
      <w:rPr>
        <w:rFonts w:ascii="Courier New" w:hAnsi="Courier New" w:cs="Courier New" w:hint="default"/>
      </w:rPr>
    </w:lvl>
    <w:lvl w:ilvl="2" w:tplc="240A0005" w:tentative="1">
      <w:start w:val="1"/>
      <w:numFmt w:val="bullet"/>
      <w:lvlText w:val=""/>
      <w:lvlJc w:val="left"/>
      <w:pPr>
        <w:ind w:left="4093" w:hanging="360"/>
      </w:pPr>
      <w:rPr>
        <w:rFonts w:ascii="Wingdings" w:hAnsi="Wingdings" w:hint="default"/>
      </w:rPr>
    </w:lvl>
    <w:lvl w:ilvl="3" w:tplc="240A0001" w:tentative="1">
      <w:start w:val="1"/>
      <w:numFmt w:val="bullet"/>
      <w:lvlText w:val=""/>
      <w:lvlJc w:val="left"/>
      <w:pPr>
        <w:ind w:left="4813" w:hanging="360"/>
      </w:pPr>
      <w:rPr>
        <w:rFonts w:ascii="Symbol" w:hAnsi="Symbol" w:hint="default"/>
      </w:rPr>
    </w:lvl>
    <w:lvl w:ilvl="4" w:tplc="240A0003" w:tentative="1">
      <w:start w:val="1"/>
      <w:numFmt w:val="bullet"/>
      <w:lvlText w:val="o"/>
      <w:lvlJc w:val="left"/>
      <w:pPr>
        <w:ind w:left="5533" w:hanging="360"/>
      </w:pPr>
      <w:rPr>
        <w:rFonts w:ascii="Courier New" w:hAnsi="Courier New" w:cs="Courier New" w:hint="default"/>
      </w:rPr>
    </w:lvl>
    <w:lvl w:ilvl="5" w:tplc="240A0005" w:tentative="1">
      <w:start w:val="1"/>
      <w:numFmt w:val="bullet"/>
      <w:lvlText w:val=""/>
      <w:lvlJc w:val="left"/>
      <w:pPr>
        <w:ind w:left="6253" w:hanging="360"/>
      </w:pPr>
      <w:rPr>
        <w:rFonts w:ascii="Wingdings" w:hAnsi="Wingdings" w:hint="default"/>
      </w:rPr>
    </w:lvl>
    <w:lvl w:ilvl="6" w:tplc="240A0001" w:tentative="1">
      <w:start w:val="1"/>
      <w:numFmt w:val="bullet"/>
      <w:lvlText w:val=""/>
      <w:lvlJc w:val="left"/>
      <w:pPr>
        <w:ind w:left="6973" w:hanging="360"/>
      </w:pPr>
      <w:rPr>
        <w:rFonts w:ascii="Symbol" w:hAnsi="Symbol" w:hint="default"/>
      </w:rPr>
    </w:lvl>
    <w:lvl w:ilvl="7" w:tplc="240A0003" w:tentative="1">
      <w:start w:val="1"/>
      <w:numFmt w:val="bullet"/>
      <w:lvlText w:val="o"/>
      <w:lvlJc w:val="left"/>
      <w:pPr>
        <w:ind w:left="7693" w:hanging="360"/>
      </w:pPr>
      <w:rPr>
        <w:rFonts w:ascii="Courier New" w:hAnsi="Courier New" w:cs="Courier New" w:hint="default"/>
      </w:rPr>
    </w:lvl>
    <w:lvl w:ilvl="8" w:tplc="240A0005" w:tentative="1">
      <w:start w:val="1"/>
      <w:numFmt w:val="bullet"/>
      <w:lvlText w:val=""/>
      <w:lvlJc w:val="left"/>
      <w:pPr>
        <w:ind w:left="8413" w:hanging="360"/>
      </w:pPr>
      <w:rPr>
        <w:rFonts w:ascii="Wingdings" w:hAnsi="Wingdings" w:hint="default"/>
      </w:rPr>
    </w:lvl>
  </w:abstractNum>
  <w:abstractNum w:abstractNumId="4" w15:restartNumberingAfterBreak="0">
    <w:nsid w:val="16643D48"/>
    <w:multiLevelType w:val="hybridMultilevel"/>
    <w:tmpl w:val="2AC050D6"/>
    <w:lvl w:ilvl="0" w:tplc="EB8287E4">
      <w:numFmt w:val="bullet"/>
      <w:lvlText w:val="•"/>
      <w:lvlJc w:val="left"/>
      <w:pPr>
        <w:ind w:left="1080" w:hanging="360"/>
      </w:pPr>
      <w:rPr>
        <w:rFonts w:ascii="Arial" w:eastAsia="Times New Roman" w:hAnsi="Arial" w:cs="Aria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5" w15:restartNumberingAfterBreak="0">
    <w:nsid w:val="1F49720D"/>
    <w:multiLevelType w:val="hybridMultilevel"/>
    <w:tmpl w:val="ED988B0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DC940F9"/>
    <w:multiLevelType w:val="hybridMultilevel"/>
    <w:tmpl w:val="FB5A7050"/>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7" w15:restartNumberingAfterBreak="0">
    <w:nsid w:val="36341CEA"/>
    <w:multiLevelType w:val="hybridMultilevel"/>
    <w:tmpl w:val="E7CE56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37A505F6"/>
    <w:multiLevelType w:val="hybridMultilevel"/>
    <w:tmpl w:val="C42C50D8"/>
    <w:lvl w:ilvl="0" w:tplc="240A001B">
      <w:start w:val="1"/>
      <w:numFmt w:val="lowerRoman"/>
      <w:lvlText w:val="%1."/>
      <w:lvlJc w:val="right"/>
      <w:pPr>
        <w:ind w:left="2340" w:hanging="360"/>
      </w:pPr>
    </w:lvl>
    <w:lvl w:ilvl="1" w:tplc="240A0019" w:tentative="1">
      <w:start w:val="1"/>
      <w:numFmt w:val="lowerLetter"/>
      <w:lvlText w:val="%2."/>
      <w:lvlJc w:val="left"/>
      <w:pPr>
        <w:ind w:left="3060" w:hanging="360"/>
      </w:pPr>
    </w:lvl>
    <w:lvl w:ilvl="2" w:tplc="240A001B" w:tentative="1">
      <w:start w:val="1"/>
      <w:numFmt w:val="lowerRoman"/>
      <w:lvlText w:val="%3."/>
      <w:lvlJc w:val="right"/>
      <w:pPr>
        <w:ind w:left="3780" w:hanging="180"/>
      </w:pPr>
    </w:lvl>
    <w:lvl w:ilvl="3" w:tplc="240A000F" w:tentative="1">
      <w:start w:val="1"/>
      <w:numFmt w:val="decimal"/>
      <w:lvlText w:val="%4."/>
      <w:lvlJc w:val="left"/>
      <w:pPr>
        <w:ind w:left="4500" w:hanging="360"/>
      </w:pPr>
    </w:lvl>
    <w:lvl w:ilvl="4" w:tplc="240A0019" w:tentative="1">
      <w:start w:val="1"/>
      <w:numFmt w:val="lowerLetter"/>
      <w:lvlText w:val="%5."/>
      <w:lvlJc w:val="left"/>
      <w:pPr>
        <w:ind w:left="5220" w:hanging="360"/>
      </w:pPr>
    </w:lvl>
    <w:lvl w:ilvl="5" w:tplc="240A001B" w:tentative="1">
      <w:start w:val="1"/>
      <w:numFmt w:val="lowerRoman"/>
      <w:lvlText w:val="%6."/>
      <w:lvlJc w:val="right"/>
      <w:pPr>
        <w:ind w:left="5940" w:hanging="180"/>
      </w:pPr>
    </w:lvl>
    <w:lvl w:ilvl="6" w:tplc="240A000F" w:tentative="1">
      <w:start w:val="1"/>
      <w:numFmt w:val="decimal"/>
      <w:lvlText w:val="%7."/>
      <w:lvlJc w:val="left"/>
      <w:pPr>
        <w:ind w:left="6660" w:hanging="360"/>
      </w:pPr>
    </w:lvl>
    <w:lvl w:ilvl="7" w:tplc="240A0019" w:tentative="1">
      <w:start w:val="1"/>
      <w:numFmt w:val="lowerLetter"/>
      <w:lvlText w:val="%8."/>
      <w:lvlJc w:val="left"/>
      <w:pPr>
        <w:ind w:left="7380" w:hanging="360"/>
      </w:pPr>
    </w:lvl>
    <w:lvl w:ilvl="8" w:tplc="240A001B" w:tentative="1">
      <w:start w:val="1"/>
      <w:numFmt w:val="lowerRoman"/>
      <w:lvlText w:val="%9."/>
      <w:lvlJc w:val="right"/>
      <w:pPr>
        <w:ind w:left="8100" w:hanging="180"/>
      </w:pPr>
    </w:lvl>
  </w:abstractNum>
  <w:abstractNum w:abstractNumId="9" w15:restartNumberingAfterBreak="0">
    <w:nsid w:val="3A1C0C9C"/>
    <w:multiLevelType w:val="hybridMultilevel"/>
    <w:tmpl w:val="D1D20E7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49FF05FC"/>
    <w:multiLevelType w:val="hybridMultilevel"/>
    <w:tmpl w:val="DE90DFA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52972A81"/>
    <w:multiLevelType w:val="hybridMultilevel"/>
    <w:tmpl w:val="44863FC6"/>
    <w:lvl w:ilvl="0" w:tplc="240A000F">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57BB6C31"/>
    <w:multiLevelType w:val="hybridMultilevel"/>
    <w:tmpl w:val="DE90DFA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5E5F3DDA"/>
    <w:multiLevelType w:val="hybridMultilevel"/>
    <w:tmpl w:val="1AB87A64"/>
    <w:lvl w:ilvl="0" w:tplc="240A0001">
      <w:start w:val="1"/>
      <w:numFmt w:val="bullet"/>
      <w:lvlText w:val=""/>
      <w:lvlJc w:val="left"/>
      <w:pPr>
        <w:ind w:left="1778" w:hanging="360"/>
      </w:pPr>
      <w:rPr>
        <w:rFonts w:ascii="Symbol" w:hAnsi="Symbol" w:hint="default"/>
      </w:rPr>
    </w:lvl>
    <w:lvl w:ilvl="1" w:tplc="240A0003" w:tentative="1">
      <w:start w:val="1"/>
      <w:numFmt w:val="bullet"/>
      <w:lvlText w:val="o"/>
      <w:lvlJc w:val="left"/>
      <w:pPr>
        <w:ind w:left="2498" w:hanging="360"/>
      </w:pPr>
      <w:rPr>
        <w:rFonts w:ascii="Courier New" w:hAnsi="Courier New" w:cs="Courier New" w:hint="default"/>
      </w:rPr>
    </w:lvl>
    <w:lvl w:ilvl="2" w:tplc="240A0005" w:tentative="1">
      <w:start w:val="1"/>
      <w:numFmt w:val="bullet"/>
      <w:lvlText w:val=""/>
      <w:lvlJc w:val="left"/>
      <w:pPr>
        <w:ind w:left="3218" w:hanging="360"/>
      </w:pPr>
      <w:rPr>
        <w:rFonts w:ascii="Wingdings" w:hAnsi="Wingdings" w:hint="default"/>
      </w:rPr>
    </w:lvl>
    <w:lvl w:ilvl="3" w:tplc="240A0001" w:tentative="1">
      <w:start w:val="1"/>
      <w:numFmt w:val="bullet"/>
      <w:lvlText w:val=""/>
      <w:lvlJc w:val="left"/>
      <w:pPr>
        <w:ind w:left="3938" w:hanging="360"/>
      </w:pPr>
      <w:rPr>
        <w:rFonts w:ascii="Symbol" w:hAnsi="Symbol" w:hint="default"/>
      </w:rPr>
    </w:lvl>
    <w:lvl w:ilvl="4" w:tplc="240A0003" w:tentative="1">
      <w:start w:val="1"/>
      <w:numFmt w:val="bullet"/>
      <w:lvlText w:val="o"/>
      <w:lvlJc w:val="left"/>
      <w:pPr>
        <w:ind w:left="4658" w:hanging="360"/>
      </w:pPr>
      <w:rPr>
        <w:rFonts w:ascii="Courier New" w:hAnsi="Courier New" w:cs="Courier New" w:hint="default"/>
      </w:rPr>
    </w:lvl>
    <w:lvl w:ilvl="5" w:tplc="240A0005" w:tentative="1">
      <w:start w:val="1"/>
      <w:numFmt w:val="bullet"/>
      <w:lvlText w:val=""/>
      <w:lvlJc w:val="left"/>
      <w:pPr>
        <w:ind w:left="5378" w:hanging="360"/>
      </w:pPr>
      <w:rPr>
        <w:rFonts w:ascii="Wingdings" w:hAnsi="Wingdings" w:hint="default"/>
      </w:rPr>
    </w:lvl>
    <w:lvl w:ilvl="6" w:tplc="240A0001" w:tentative="1">
      <w:start w:val="1"/>
      <w:numFmt w:val="bullet"/>
      <w:lvlText w:val=""/>
      <w:lvlJc w:val="left"/>
      <w:pPr>
        <w:ind w:left="6098" w:hanging="360"/>
      </w:pPr>
      <w:rPr>
        <w:rFonts w:ascii="Symbol" w:hAnsi="Symbol" w:hint="default"/>
      </w:rPr>
    </w:lvl>
    <w:lvl w:ilvl="7" w:tplc="240A0003" w:tentative="1">
      <w:start w:val="1"/>
      <w:numFmt w:val="bullet"/>
      <w:lvlText w:val="o"/>
      <w:lvlJc w:val="left"/>
      <w:pPr>
        <w:ind w:left="6818" w:hanging="360"/>
      </w:pPr>
      <w:rPr>
        <w:rFonts w:ascii="Courier New" w:hAnsi="Courier New" w:cs="Courier New" w:hint="default"/>
      </w:rPr>
    </w:lvl>
    <w:lvl w:ilvl="8" w:tplc="240A0005" w:tentative="1">
      <w:start w:val="1"/>
      <w:numFmt w:val="bullet"/>
      <w:lvlText w:val=""/>
      <w:lvlJc w:val="left"/>
      <w:pPr>
        <w:ind w:left="7538" w:hanging="360"/>
      </w:pPr>
      <w:rPr>
        <w:rFonts w:ascii="Wingdings" w:hAnsi="Wingdings" w:hint="default"/>
      </w:rPr>
    </w:lvl>
  </w:abstractNum>
  <w:abstractNum w:abstractNumId="14" w15:restartNumberingAfterBreak="0">
    <w:nsid w:val="6DBF1A70"/>
    <w:multiLevelType w:val="hybridMultilevel"/>
    <w:tmpl w:val="DE90DFA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77CC2677"/>
    <w:multiLevelType w:val="hybridMultilevel"/>
    <w:tmpl w:val="DE90DFA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07161079">
    <w:abstractNumId w:val="2"/>
  </w:num>
  <w:num w:numId="2" w16cid:durableId="648171187">
    <w:abstractNumId w:val="5"/>
  </w:num>
  <w:num w:numId="3" w16cid:durableId="1562861884">
    <w:abstractNumId w:val="13"/>
  </w:num>
  <w:num w:numId="4" w16cid:durableId="712384995">
    <w:abstractNumId w:val="4"/>
  </w:num>
  <w:num w:numId="5" w16cid:durableId="1077019573">
    <w:abstractNumId w:val="1"/>
  </w:num>
  <w:num w:numId="6" w16cid:durableId="284385151">
    <w:abstractNumId w:val="3"/>
  </w:num>
  <w:num w:numId="7" w16cid:durableId="1073117262">
    <w:abstractNumId w:val="9"/>
  </w:num>
  <w:num w:numId="8" w16cid:durableId="1224025749">
    <w:abstractNumId w:val="0"/>
  </w:num>
  <w:num w:numId="9" w16cid:durableId="837041729">
    <w:abstractNumId w:val="15"/>
  </w:num>
  <w:num w:numId="10" w16cid:durableId="464157774">
    <w:abstractNumId w:val="14"/>
  </w:num>
  <w:num w:numId="11" w16cid:durableId="861936838">
    <w:abstractNumId w:val="10"/>
  </w:num>
  <w:num w:numId="12" w16cid:durableId="1586963151">
    <w:abstractNumId w:val="12"/>
  </w:num>
  <w:num w:numId="13" w16cid:durableId="622153577">
    <w:abstractNumId w:val="8"/>
  </w:num>
  <w:num w:numId="14" w16cid:durableId="905408785">
    <w:abstractNumId w:val="11"/>
  </w:num>
  <w:num w:numId="15" w16cid:durableId="1559321467">
    <w:abstractNumId w:val="6"/>
  </w:num>
  <w:num w:numId="16" w16cid:durableId="17014367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8DF"/>
    <w:rsid w:val="00014F19"/>
    <w:rsid w:val="000F3003"/>
    <w:rsid w:val="000F78BF"/>
    <w:rsid w:val="00101AA1"/>
    <w:rsid w:val="001345AF"/>
    <w:rsid w:val="001A33D9"/>
    <w:rsid w:val="00207891"/>
    <w:rsid w:val="00250400"/>
    <w:rsid w:val="002E7618"/>
    <w:rsid w:val="00321361"/>
    <w:rsid w:val="003425CA"/>
    <w:rsid w:val="00385661"/>
    <w:rsid w:val="003A042B"/>
    <w:rsid w:val="003D3054"/>
    <w:rsid w:val="00401F72"/>
    <w:rsid w:val="004206A9"/>
    <w:rsid w:val="00426489"/>
    <w:rsid w:val="004440B1"/>
    <w:rsid w:val="004B78DF"/>
    <w:rsid w:val="004C4FF7"/>
    <w:rsid w:val="0052232D"/>
    <w:rsid w:val="00523B29"/>
    <w:rsid w:val="00544517"/>
    <w:rsid w:val="00582B73"/>
    <w:rsid w:val="005A58C5"/>
    <w:rsid w:val="005E1BB9"/>
    <w:rsid w:val="005F0994"/>
    <w:rsid w:val="006B448F"/>
    <w:rsid w:val="006C4EDE"/>
    <w:rsid w:val="006C6882"/>
    <w:rsid w:val="006D1BEE"/>
    <w:rsid w:val="006E74BF"/>
    <w:rsid w:val="0074153A"/>
    <w:rsid w:val="00745F10"/>
    <w:rsid w:val="00756533"/>
    <w:rsid w:val="007565CA"/>
    <w:rsid w:val="00783477"/>
    <w:rsid w:val="0079648F"/>
    <w:rsid w:val="00830CC0"/>
    <w:rsid w:val="00875C39"/>
    <w:rsid w:val="008A7039"/>
    <w:rsid w:val="00943766"/>
    <w:rsid w:val="00961470"/>
    <w:rsid w:val="00993388"/>
    <w:rsid w:val="009C2FAF"/>
    <w:rsid w:val="009C4375"/>
    <w:rsid w:val="00AA3BC9"/>
    <w:rsid w:val="00AB49F3"/>
    <w:rsid w:val="00AB5B0C"/>
    <w:rsid w:val="00AC41F8"/>
    <w:rsid w:val="00AD1AE5"/>
    <w:rsid w:val="00AF5409"/>
    <w:rsid w:val="00B82C21"/>
    <w:rsid w:val="00B85A7D"/>
    <w:rsid w:val="00BF6A07"/>
    <w:rsid w:val="00C504E9"/>
    <w:rsid w:val="00C56311"/>
    <w:rsid w:val="00C75559"/>
    <w:rsid w:val="00C93F26"/>
    <w:rsid w:val="00D0434B"/>
    <w:rsid w:val="00D90298"/>
    <w:rsid w:val="00D908E3"/>
    <w:rsid w:val="00DB138F"/>
    <w:rsid w:val="00E73AD8"/>
    <w:rsid w:val="00E96BC0"/>
    <w:rsid w:val="00EA76AB"/>
    <w:rsid w:val="00EC242C"/>
    <w:rsid w:val="00EC2A88"/>
    <w:rsid w:val="00ED0489"/>
    <w:rsid w:val="00ED7515"/>
    <w:rsid w:val="00EE6E5E"/>
    <w:rsid w:val="00F27AAA"/>
    <w:rsid w:val="00FB6DD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98C5B"/>
  <w15:chartTrackingRefBased/>
  <w15:docId w15:val="{B7F686EB-3DC3-4755-8450-BBDB031B7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next w:val="Normal"/>
    <w:link w:val="Ttulo3Car"/>
    <w:qFormat/>
    <w:rsid w:val="004B78DF"/>
    <w:pPr>
      <w:keepNext/>
      <w:spacing w:after="0" w:line="240" w:lineRule="auto"/>
      <w:jc w:val="both"/>
      <w:outlineLvl w:val="2"/>
    </w:pPr>
    <w:rPr>
      <w:rFonts w:ascii="Arial" w:eastAsia="Times New Roman" w:hAnsi="Arial" w:cs="Times New Roman"/>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rsid w:val="004B78DF"/>
    <w:rPr>
      <w:rFonts w:ascii="Arial" w:eastAsia="Times New Roman" w:hAnsi="Arial" w:cs="Times New Roman"/>
      <w:sz w:val="24"/>
      <w:szCs w:val="20"/>
      <w:lang w:val="es-MX" w:eastAsia="es-ES"/>
    </w:rPr>
  </w:style>
  <w:style w:type="paragraph" w:styleId="Prrafodelista">
    <w:name w:val="List Paragraph"/>
    <w:basedOn w:val="Normal"/>
    <w:link w:val="PrrafodelistaCar"/>
    <w:uiPriority w:val="34"/>
    <w:qFormat/>
    <w:rsid w:val="004B78DF"/>
    <w:pPr>
      <w:spacing w:after="0" w:line="240" w:lineRule="auto"/>
      <w:ind w:left="708"/>
      <w:jc w:val="both"/>
    </w:pPr>
    <w:rPr>
      <w:rFonts w:ascii="Arial" w:eastAsia="Times New Roman" w:hAnsi="Arial" w:cs="Times New Roman"/>
      <w:sz w:val="24"/>
      <w:szCs w:val="24"/>
      <w:lang w:val="es-ES" w:eastAsia="es-ES"/>
    </w:rPr>
  </w:style>
  <w:style w:type="paragraph" w:customStyle="1" w:styleId="Default">
    <w:name w:val="Default"/>
    <w:rsid w:val="004B78DF"/>
    <w:pPr>
      <w:autoSpaceDE w:val="0"/>
      <w:autoSpaceDN w:val="0"/>
      <w:adjustRightInd w:val="0"/>
      <w:spacing w:after="0" w:line="240" w:lineRule="auto"/>
    </w:pPr>
    <w:rPr>
      <w:rFonts w:ascii="Arial" w:eastAsia="Times New Roman" w:hAnsi="Arial" w:cs="Arial"/>
      <w:color w:val="000000"/>
      <w:sz w:val="24"/>
      <w:szCs w:val="24"/>
      <w:lang w:val="es-MX"/>
    </w:rPr>
  </w:style>
  <w:style w:type="character" w:customStyle="1" w:styleId="PrrafodelistaCar">
    <w:name w:val="Párrafo de lista Car"/>
    <w:link w:val="Prrafodelista"/>
    <w:uiPriority w:val="34"/>
    <w:locked/>
    <w:rsid w:val="004B78DF"/>
    <w:rPr>
      <w:rFonts w:ascii="Arial" w:eastAsia="Times New Roman" w:hAnsi="Arial" w:cs="Times New Roman"/>
      <w:sz w:val="24"/>
      <w:szCs w:val="24"/>
      <w:lang w:val="es-ES" w:eastAsia="es-ES"/>
    </w:rPr>
  </w:style>
  <w:style w:type="character" w:styleId="Refdecomentario">
    <w:name w:val="annotation reference"/>
    <w:basedOn w:val="Fuentedeprrafopredeter"/>
    <w:uiPriority w:val="99"/>
    <w:semiHidden/>
    <w:unhideWhenUsed/>
    <w:rsid w:val="007565CA"/>
    <w:rPr>
      <w:sz w:val="16"/>
      <w:szCs w:val="16"/>
    </w:rPr>
  </w:style>
  <w:style w:type="paragraph" w:styleId="Textocomentario">
    <w:name w:val="annotation text"/>
    <w:basedOn w:val="Normal"/>
    <w:link w:val="TextocomentarioCar"/>
    <w:uiPriority w:val="99"/>
    <w:unhideWhenUsed/>
    <w:rsid w:val="007565CA"/>
    <w:pPr>
      <w:spacing w:line="240" w:lineRule="auto"/>
    </w:pPr>
    <w:rPr>
      <w:sz w:val="20"/>
      <w:szCs w:val="20"/>
    </w:rPr>
  </w:style>
  <w:style w:type="character" w:customStyle="1" w:styleId="TextocomentarioCar">
    <w:name w:val="Texto comentario Car"/>
    <w:basedOn w:val="Fuentedeprrafopredeter"/>
    <w:link w:val="Textocomentario"/>
    <w:uiPriority w:val="99"/>
    <w:rsid w:val="007565CA"/>
    <w:rPr>
      <w:sz w:val="20"/>
      <w:szCs w:val="20"/>
    </w:rPr>
  </w:style>
  <w:style w:type="paragraph" w:styleId="Asuntodelcomentario">
    <w:name w:val="annotation subject"/>
    <w:basedOn w:val="Textocomentario"/>
    <w:next w:val="Textocomentario"/>
    <w:link w:val="AsuntodelcomentarioCar"/>
    <w:uiPriority w:val="99"/>
    <w:semiHidden/>
    <w:unhideWhenUsed/>
    <w:rsid w:val="007565CA"/>
    <w:rPr>
      <w:b/>
      <w:bCs/>
    </w:rPr>
  </w:style>
  <w:style w:type="character" w:customStyle="1" w:styleId="AsuntodelcomentarioCar">
    <w:name w:val="Asunto del comentario Car"/>
    <w:basedOn w:val="TextocomentarioCar"/>
    <w:link w:val="Asuntodelcomentario"/>
    <w:uiPriority w:val="99"/>
    <w:semiHidden/>
    <w:rsid w:val="007565CA"/>
    <w:rPr>
      <w:b/>
      <w:bCs/>
      <w:sz w:val="20"/>
      <w:szCs w:val="20"/>
    </w:rPr>
  </w:style>
  <w:style w:type="paragraph" w:styleId="Revisin">
    <w:name w:val="Revision"/>
    <w:hidden/>
    <w:uiPriority w:val="99"/>
    <w:semiHidden/>
    <w:rsid w:val="00101AA1"/>
    <w:pPr>
      <w:spacing w:after="0" w:line="240" w:lineRule="auto"/>
    </w:pPr>
  </w:style>
  <w:style w:type="paragraph" w:styleId="Textosinformato">
    <w:name w:val="Plain Text"/>
    <w:basedOn w:val="Normal"/>
    <w:link w:val="TextosinformatoCar"/>
    <w:uiPriority w:val="99"/>
    <w:rsid w:val="00DB138F"/>
    <w:pPr>
      <w:spacing w:after="0" w:line="240" w:lineRule="auto"/>
      <w:jc w:val="both"/>
    </w:pPr>
    <w:rPr>
      <w:rFonts w:ascii="Courier New" w:eastAsia="Times New Roman" w:hAnsi="Courier New" w:cs="Courier New"/>
      <w:sz w:val="20"/>
      <w:szCs w:val="20"/>
      <w:lang w:val="en-US"/>
    </w:rPr>
  </w:style>
  <w:style w:type="character" w:customStyle="1" w:styleId="TextosinformatoCar">
    <w:name w:val="Texto sin formato Car"/>
    <w:basedOn w:val="Fuentedeprrafopredeter"/>
    <w:link w:val="Textosinformato"/>
    <w:uiPriority w:val="99"/>
    <w:rsid w:val="00DB138F"/>
    <w:rPr>
      <w:rFonts w:ascii="Courier New" w:eastAsia="Times New Roman" w:hAnsi="Courier New" w:cs="Courier New"/>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2436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56F244-E0BC-45C1-94E4-5C679591D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3</Pages>
  <Words>1153</Words>
  <Characters>6343</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MUELAS MERA</dc:creator>
  <cp:keywords/>
  <dc:description/>
  <cp:lastModifiedBy>MARIA CAROLINA BAQUERO SARMIENTO</cp:lastModifiedBy>
  <cp:revision>7</cp:revision>
  <cp:lastPrinted>2020-06-29T21:33:00Z</cp:lastPrinted>
  <dcterms:created xsi:type="dcterms:W3CDTF">2026-03-03T18:59:00Z</dcterms:created>
  <dcterms:modified xsi:type="dcterms:W3CDTF">2026-03-20T20:21:00Z</dcterms:modified>
</cp:coreProperties>
</file>